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1F25" w14:textId="5A30B275"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8E57D8" w:rsidRPr="00E1723F">
        <w:rPr>
          <w:rFonts w:ascii="Arial Narrow" w:hAnsi="Arial Narrow" w:cs="Arial"/>
        </w:rPr>
        <w:t>02</w:t>
      </w:r>
      <w:r w:rsidR="00CF5C1D" w:rsidRPr="00E1723F">
        <w:rPr>
          <w:rFonts w:ascii="Arial Narrow" w:hAnsi="Arial Narrow" w:cs="Arial"/>
        </w:rPr>
        <w:t>.</w:t>
      </w:r>
      <w:r w:rsidR="0087487E" w:rsidRPr="00E1723F">
        <w:rPr>
          <w:rFonts w:ascii="Arial Narrow" w:hAnsi="Arial Narrow" w:cs="Arial"/>
        </w:rPr>
        <w:t>0</w:t>
      </w:r>
      <w:r w:rsidR="008E57D8" w:rsidRPr="00E1723F">
        <w:rPr>
          <w:rFonts w:ascii="Arial Narrow" w:hAnsi="Arial Narrow" w:cs="Arial"/>
        </w:rPr>
        <w:t>6</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15F3F56A">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6CA443B0"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Pr>
                                <w:rFonts w:ascii="Arial" w:hAnsi="Arial" w:cs="Arial"/>
                                <w:b/>
                                <w:bCs/>
                                <w:color w:val="000000"/>
                              </w:rPr>
                              <w:t xml:space="preserve">logistycznej </w:t>
                            </w:r>
                            <w:r w:rsidRPr="00F132EF">
                              <w:rPr>
                                <w:rFonts w:ascii="Arial" w:hAnsi="Arial" w:cs="Arial"/>
                                <w:b/>
                                <w:bCs/>
                                <w:color w:val="000000"/>
                              </w:rPr>
                              <w:t>w Zespole Szkół im. Wincentego Witosa w Suchej Beskidzkie</w:t>
                            </w:r>
                            <w:r w:rsidRPr="00F132EF">
                              <w:rPr>
                                <w:rFonts w:ascii="Arial" w:hAnsi="Arial" w:cs="Arial"/>
                                <w:b/>
                                <w:bC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aEKw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&#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6CA443B0"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Pr>
                          <w:rFonts w:ascii="Arial" w:hAnsi="Arial" w:cs="Arial"/>
                          <w:b/>
                          <w:bCs/>
                          <w:color w:val="000000"/>
                        </w:rPr>
                        <w:t xml:space="preserve">logistycznej </w:t>
                      </w:r>
                      <w:r w:rsidRPr="00F132EF">
                        <w:rPr>
                          <w:rFonts w:ascii="Arial" w:hAnsi="Arial" w:cs="Arial"/>
                          <w:b/>
                          <w:bCs/>
                          <w:color w:val="000000"/>
                        </w:rPr>
                        <w:t>w Zespole Szkół im. Wincentego Witosa w Suchej Beskidzkie</w:t>
                      </w:r>
                      <w:r w:rsidRPr="00F132EF">
                        <w:rPr>
                          <w:rFonts w:ascii="Arial" w:hAnsi="Arial" w:cs="Arial"/>
                          <w:b/>
                          <w:bCs/>
                        </w:rPr>
                        <w:t>j</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5FF2A79F"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4B061C" w:rsidRPr="00E1723F">
        <w:rPr>
          <w:rFonts w:ascii="Arial Narrow" w:eastAsiaTheme="majorEastAsia" w:hAnsi="Arial Narrow" w:cs="Arial"/>
          <w:b/>
          <w:bCs/>
          <w:iCs/>
          <w:lang w:eastAsia="en-US"/>
        </w:rPr>
        <w:t>2</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Załączniki do </w:t>
      </w:r>
      <w:proofErr w:type="spellStart"/>
      <w:r w:rsidRPr="00E1723F">
        <w:rPr>
          <w:rFonts w:ascii="Arial Narrow" w:hAnsi="Arial Narrow" w:cs="Arial"/>
          <w:b/>
          <w:lang w:eastAsia="en-US"/>
        </w:rPr>
        <w:t>swz</w:t>
      </w:r>
      <w:proofErr w:type="spellEnd"/>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32753A0B" w14:textId="77777777" w:rsidR="00AF152C" w:rsidRPr="00E1723F" w:rsidRDefault="00AF152C" w:rsidP="00AF152C">
      <w:pPr>
        <w:rPr>
          <w:rFonts w:ascii="Arial Narrow" w:hAnsi="Arial Narrow" w:cs="Arial"/>
          <w:bCs/>
        </w:rPr>
      </w:pPr>
      <w:r w:rsidRPr="00E1723F">
        <w:rPr>
          <w:rFonts w:ascii="Arial Narrow" w:hAnsi="Arial Narrow" w:cs="Arial"/>
          <w:bCs/>
        </w:rPr>
        <w:t>REGON: 072181675</w:t>
      </w:r>
    </w:p>
    <w:p w14:paraId="56408D90" w14:textId="77777777" w:rsidR="00AF152C" w:rsidRPr="00E1723F" w:rsidRDefault="00AF152C" w:rsidP="00AF152C">
      <w:pPr>
        <w:rPr>
          <w:rFonts w:ascii="Arial Narrow" w:hAnsi="Arial Narrow" w:cs="Arial"/>
          <w:bCs/>
        </w:rPr>
      </w:pPr>
      <w:r w:rsidRPr="00E1723F">
        <w:rPr>
          <w:rFonts w:ascii="Arial Narrow" w:hAnsi="Arial Narrow" w:cs="Arial"/>
          <w:bCs/>
        </w:rPr>
        <w:t>NIP: 552-14-27-933</w:t>
      </w:r>
    </w:p>
    <w:p w14:paraId="0583B7CA" w14:textId="0C9AF3D0"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p>
    <w:p w14:paraId="292E7822" w14:textId="2B944AEA" w:rsidR="00AF152C" w:rsidRPr="00E1723F" w:rsidRDefault="00510935" w:rsidP="00AF152C">
      <w:pPr>
        <w:jc w:val="both"/>
        <w:rPr>
          <w:rFonts w:ascii="Arial Narrow" w:hAnsi="Arial Narrow" w:cs="Arial"/>
          <w:bCs/>
        </w:rPr>
      </w:pP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9"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10"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4F072579"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 xml:space="preserve">Wysyłając ofertę bądź zapytanie przez </w:t>
      </w:r>
      <w:proofErr w:type="spellStart"/>
      <w:r w:rsidRPr="00E1723F">
        <w:rPr>
          <w:rStyle w:val="Hipercze"/>
          <w:rFonts w:ascii="Arial Narrow" w:hAnsi="Arial Narrow" w:cs="Arial"/>
          <w:b/>
          <w:color w:val="auto"/>
          <w:sz w:val="24"/>
          <w:szCs w:val="24"/>
        </w:rPr>
        <w:t>ePuap</w:t>
      </w:r>
      <w:proofErr w:type="spellEnd"/>
      <w:r w:rsidRPr="00E1723F">
        <w:rPr>
          <w:rStyle w:val="Hipercze"/>
          <w:rFonts w:ascii="Arial Narrow" w:hAnsi="Arial Narrow" w:cs="Arial"/>
          <w:b/>
          <w:color w:val="auto"/>
          <w:sz w:val="24"/>
          <w:szCs w:val="24"/>
        </w:rPr>
        <w:t xml:space="preserve"> należy wyszukać (Starostwo Powiatowe w Suchej Beskidzkiej). </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5A974988"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 -profesjonalista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Wykonawca zamierzający wziąć udział w postępowaniu o udzielenie zamówienia publicznego musi posiadać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Wykonawca posiadający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Za datę przekazania oferty, oświadczenia, o którym mowa w art. 125 ust.1 pzp, podmiotowych środków dowodowych, przedmiotowych środków dowodowych oraz innych informacji, oświadczeń lub dokumentów, przekazywanych w postępowaniu, przyjmuje się datę ich przekazania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 xml:space="preserve">i załączniki do oferty) odbywa się elektronicznie za pośrednictwem dedykowanego formularza dostępnego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oraz udostępnionego przez </w:t>
      </w:r>
      <w:proofErr w:type="spellStart"/>
      <w:r w:rsidRPr="00E1723F">
        <w:rPr>
          <w:rFonts w:ascii="Arial Narrow" w:hAnsi="Arial Narrow" w:cs="Arial"/>
          <w:sz w:val="24"/>
          <w:szCs w:val="24"/>
        </w:rPr>
        <w:t>miniPortal</w:t>
      </w:r>
      <w:proofErr w:type="spellEnd"/>
      <w:r w:rsidRPr="00E1723F">
        <w:rPr>
          <w:rFonts w:ascii="Arial Narrow" w:hAnsi="Arial Narrow" w:cs="Arial"/>
          <w:sz w:val="24"/>
          <w:szCs w:val="24"/>
        </w:rPr>
        <w:t>.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2"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w:t>
      </w:r>
      <w:r w:rsidRPr="00E1723F">
        <w:rPr>
          <w:rFonts w:ascii="Arial Narrow" w:hAnsi="Arial Narrow" w:cs="Arial"/>
          <w:sz w:val="24"/>
          <w:szCs w:val="24"/>
        </w:rPr>
        <w:lastRenderedPageBreak/>
        <w:t xml:space="preserve">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202AE452"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E07C97" w:rsidRPr="00E1723F">
        <w:rPr>
          <w:rFonts w:ascii="Arial Narrow" w:eastAsiaTheme="majorEastAsia" w:hAnsi="Arial Narrow" w:cs="Arial"/>
          <w:b/>
          <w:bCs/>
          <w:lang w:eastAsia="en-US"/>
        </w:rPr>
        <w:t xml:space="preserve">nie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65F9779F"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E07C97" w:rsidRPr="00E1723F">
        <w:rPr>
          <w:rFonts w:ascii="Arial Narrow" w:eastAsiaTheme="majorEastAsia" w:hAnsi="Arial Narrow" w:cs="Arial"/>
          <w:bCs/>
          <w:lang w:eastAsia="en-US"/>
        </w:rPr>
        <w:t xml:space="preserve">przedmiot zamówienia jest tożsamy rodzajowo jako całość oraz przeznaczony jest dodatkowo do jednego rodzaju pracowni </w:t>
      </w:r>
      <w:r w:rsidR="008E57D8" w:rsidRPr="00E1723F">
        <w:rPr>
          <w:rFonts w:ascii="Arial Narrow" w:eastAsiaTheme="majorEastAsia" w:hAnsi="Arial Narrow" w:cs="Arial"/>
          <w:bCs/>
          <w:lang w:eastAsia="en-US"/>
        </w:rPr>
        <w:t>logistycznej</w:t>
      </w:r>
      <w:r w:rsidR="00E07C97" w:rsidRPr="00E1723F">
        <w:rPr>
          <w:rFonts w:ascii="Arial Narrow" w:eastAsiaTheme="majorEastAsia" w:hAnsi="Arial Narrow" w:cs="Arial"/>
          <w:bCs/>
          <w:lang w:eastAsia="en-US"/>
        </w:rPr>
        <w:t>. Z uwagi choćby na kompatybilność całej dostawy wymaga się jej realizacji w całości. Na rynku występuje wiele podmiotów, trudniących się realizacją zamówień o takim charakterze, zwłaszcza z sektora MŚP.</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 xml:space="preserve">Środki ochrony prawnej wobec ogłoszenia wszczynającego postępowanie o udzielenie zamówienia lub ogłoszenia o konkursie oraz dokumentów zamówienia przysługują również </w:t>
      </w:r>
      <w:r w:rsidRPr="00E1723F">
        <w:rPr>
          <w:rFonts w:ascii="Arial Narrow" w:hAnsi="Arial Narrow" w:cs="Arial"/>
          <w:bCs/>
        </w:rPr>
        <w:lastRenderedPageBreak/>
        <w:t>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3" w:history="1">
        <w:r w:rsidRPr="00E1723F">
          <w:rPr>
            <w:rFonts w:ascii="Arial Narrow" w:hAnsi="Arial Narrow" w:cs="Arial"/>
          </w:rPr>
          <w:t>bip@powiatsuski.pl</w:t>
        </w:r>
      </w:hyperlink>
    </w:p>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2B062330" w14:textId="2E6F0021" w:rsidR="00F80F98" w:rsidRPr="00E1723F" w:rsidRDefault="005B5DD7" w:rsidP="00E1723F">
      <w:pPr>
        <w:pStyle w:val="Akapitzlist"/>
        <w:numPr>
          <w:ilvl w:val="0"/>
          <w:numId w:val="51"/>
        </w:numPr>
        <w:ind w:left="567" w:hanging="283"/>
        <w:jc w:val="both"/>
        <w:rPr>
          <w:rFonts w:ascii="Arial Narrow" w:hAnsi="Arial Narrow"/>
        </w:rPr>
      </w:pPr>
      <w:r w:rsidRPr="00E1723F">
        <w:rPr>
          <w:rFonts w:ascii="Arial Narrow" w:hAnsi="Arial Narrow" w:cs="Arial"/>
        </w:rPr>
        <w:t xml:space="preserve">Przedmiotem zamówienia jest </w:t>
      </w:r>
      <w:r w:rsidR="00EC176D" w:rsidRPr="00E1723F">
        <w:rPr>
          <w:rFonts w:ascii="Arial Narrow" w:hAnsi="Arial Narrow" w:cs="Calibri"/>
          <w:b/>
          <w:bCs/>
          <w:color w:val="000000"/>
        </w:rPr>
        <w:t xml:space="preserve">Dostawa pomocy dydaktycznych do pracowni </w:t>
      </w:r>
      <w:r w:rsidR="004B061C" w:rsidRPr="00E1723F">
        <w:rPr>
          <w:rFonts w:ascii="Arial Narrow" w:hAnsi="Arial Narrow" w:cs="Calibri"/>
          <w:b/>
          <w:bCs/>
          <w:color w:val="000000"/>
        </w:rPr>
        <w:t>logistycznej</w:t>
      </w:r>
      <w:r w:rsidR="00EC176D" w:rsidRPr="00E1723F">
        <w:rPr>
          <w:rFonts w:ascii="Arial Narrow" w:hAnsi="Arial Narrow" w:cs="Calibri"/>
          <w:b/>
          <w:bCs/>
          <w:color w:val="000000"/>
        </w:rPr>
        <w:t xml:space="preserve"> w Zespole Szkół im. Wincentego Witosa w Suchej Beskidzkiej.</w:t>
      </w:r>
    </w:p>
    <w:p w14:paraId="09793A48" w14:textId="69FD0C07"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p>
    <w:p w14:paraId="65DB9DF8" w14:textId="77777777" w:rsidR="004B061C" w:rsidRPr="00E1723F"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374A276B" w14:textId="77777777" w:rsidR="004B061C" w:rsidRPr="00E1723F" w:rsidRDefault="004B061C" w:rsidP="00E1723F">
      <w:pPr>
        <w:pStyle w:val="Akapitzlist"/>
        <w:ind w:left="567"/>
        <w:rPr>
          <w:rFonts w:ascii="Arial Narrow" w:hAnsi="Arial Narrow" w:cs="Arial"/>
        </w:rPr>
      </w:pPr>
      <w:r w:rsidRPr="00E1723F">
        <w:rPr>
          <w:rFonts w:ascii="Arial Narrow" w:hAnsi="Arial Narrow" w:cs="Arial"/>
        </w:rPr>
        <w:t>39162100-6 – Pomoce dydaktyczne</w:t>
      </w:r>
    </w:p>
    <w:p w14:paraId="3E9754B8" w14:textId="2D15C598" w:rsidR="004B061C" w:rsidRPr="00E1723F" w:rsidRDefault="004B061C" w:rsidP="00E1723F">
      <w:pPr>
        <w:pStyle w:val="Akapitzlist"/>
        <w:ind w:left="567"/>
        <w:rPr>
          <w:rFonts w:ascii="Arial Narrow" w:hAnsi="Arial Narrow" w:cs="Arial"/>
        </w:rPr>
      </w:pPr>
      <w:r w:rsidRPr="00E1723F">
        <w:rPr>
          <w:rFonts w:ascii="Arial Narrow" w:hAnsi="Arial Narrow" w:cs="Arial"/>
        </w:rPr>
        <w:t xml:space="preserve">48000000-8 – Pakiety oprogramowania i systemy informatyczne </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E338B05"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7C911EB3" w14:textId="45EA28F7"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Pr="00E1723F">
        <w:rPr>
          <w:rFonts w:ascii="Arial Narrow" w:hAnsi="Arial Narrow" w:cs="Arial"/>
        </w:rPr>
        <w:t>.</w:t>
      </w:r>
    </w:p>
    <w:p w14:paraId="242C3B15" w14:textId="4BEC8F30"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aniżeli opisano w załączniku nr 1</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p>
    <w:p w14:paraId="4D3DF057" w14:textId="1370985D"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wyjaśnia, że wskazanie z nazw własnych ma na celu ich identyfikację dla Wykonawców, aby wiedzieli co przyjąć do wyceny jako standard oczekiwany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Wskazane </w:t>
      </w:r>
      <w:r w:rsidR="008E57D8" w:rsidRPr="00E1723F">
        <w:rPr>
          <w:rFonts w:ascii="Arial Narrow" w:hAnsi="Arial Narrow" w:cs="Arial"/>
          <w:lang w:eastAsia="en-US"/>
        </w:rPr>
        <w:t xml:space="preserve">pomoce dydaktyczne </w:t>
      </w:r>
      <w:r w:rsidRPr="00E1723F">
        <w:rPr>
          <w:rFonts w:ascii="Arial Narrow" w:hAnsi="Arial Narrow" w:cs="Arial"/>
          <w:lang w:eastAsia="en-US"/>
        </w:rPr>
        <w:t>został</w:t>
      </w:r>
      <w:r w:rsidR="008E57D8" w:rsidRPr="00E1723F">
        <w:rPr>
          <w:rFonts w:ascii="Arial Narrow" w:hAnsi="Arial Narrow" w:cs="Arial"/>
          <w:lang w:eastAsia="en-US"/>
        </w:rPr>
        <w:t>y</w:t>
      </w:r>
      <w:r w:rsidRPr="00E1723F">
        <w:rPr>
          <w:rFonts w:ascii="Arial Narrow" w:hAnsi="Arial Narrow" w:cs="Arial"/>
          <w:lang w:eastAsia="en-US"/>
        </w:rPr>
        <w:t xml:space="preserve"> wskazane jako pomoce dydaktyczne i sprzęt dydaktycznych, do nauki zawodu. W przypadku wątpliwości bądź np. nie dostępności, zastąpienia nowszymi produktami Wykonawca może zwrócić się o wyjaśnienie SWZ czy też dopuszczenie innych tego typu rozwiązań</w:t>
      </w:r>
      <w:r w:rsidR="008E57D8" w:rsidRPr="00E1723F">
        <w:rPr>
          <w:rFonts w:ascii="Arial Narrow" w:hAnsi="Arial Narrow" w:cs="Arial"/>
          <w:lang w:eastAsia="en-US"/>
        </w:rPr>
        <w:t>. Mogą takie sytuacje występować, ze względu na zerwane i zaburzone w ostatnim czasie łańcuchy dostaw</w:t>
      </w:r>
      <w:r w:rsidRPr="00E1723F">
        <w:rPr>
          <w:rFonts w:ascii="Arial Narrow" w:hAnsi="Arial Narrow" w:cs="Arial"/>
          <w:lang w:eastAsia="en-US"/>
        </w:rPr>
        <w:t xml:space="preserve">. Wskazane w opisie w stopniu największy spełniają założenia dydaktyczne dla </w:t>
      </w:r>
      <w:r w:rsidR="008E57D8" w:rsidRPr="00E1723F">
        <w:rPr>
          <w:rFonts w:ascii="Arial Narrow" w:hAnsi="Arial Narrow" w:cs="Arial"/>
          <w:lang w:eastAsia="en-US"/>
        </w:rPr>
        <w:t>logistyka</w:t>
      </w:r>
      <w:r w:rsidRPr="00E1723F">
        <w:rPr>
          <w:rFonts w:ascii="Arial Narrow" w:hAnsi="Arial Narrow" w:cs="Arial"/>
          <w:lang w:eastAsia="en-US"/>
        </w:rPr>
        <w:t xml:space="preserve"> (tzn. że wyposażenie występuje najczęściej w </w:t>
      </w:r>
      <w:r w:rsidR="008E57D8" w:rsidRPr="00E1723F">
        <w:rPr>
          <w:rFonts w:ascii="Arial Narrow" w:hAnsi="Arial Narrow" w:cs="Arial"/>
          <w:lang w:eastAsia="en-US"/>
        </w:rPr>
        <w:t>logistyce</w:t>
      </w:r>
      <w:r w:rsidRPr="00E1723F">
        <w:rPr>
          <w:rFonts w:ascii="Arial Narrow" w:hAnsi="Arial Narrow" w:cs="Arial"/>
          <w:lang w:eastAsia="en-US"/>
        </w:rPr>
        <w:t>, dlatego wg takich standardów szkoła chciała by szkolić uczniów, aby na rynek pracy przystępowali mając praktyczne umiejętności korzystania z tego typu urządzeń</w:t>
      </w:r>
      <w:r w:rsidR="008E57D8" w:rsidRPr="00E1723F">
        <w:rPr>
          <w:rFonts w:ascii="Arial Narrow" w:hAnsi="Arial Narrow" w:cs="Arial"/>
          <w:lang w:eastAsia="en-US"/>
        </w:rPr>
        <w:t xml:space="preserve"> logistycznych</w:t>
      </w:r>
      <w:r w:rsidRPr="00E1723F">
        <w:rPr>
          <w:rFonts w:ascii="Arial Narrow" w:hAnsi="Arial Narrow" w:cs="Arial"/>
          <w:lang w:eastAsia="en-US"/>
        </w:rPr>
        <w:t>.</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lastRenderedPageBreak/>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E1723F">
        <w:rPr>
          <w:rFonts w:ascii="Arial Narrow" w:hAnsi="Arial Narrow" w:cs="Arial"/>
          <w:b/>
          <w:bCs/>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Nie dotyczy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29FED869"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496AD1"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u w:val="single"/>
          <w:lang w:eastAsia="en-US"/>
        </w:rPr>
        <w:t>d</w:t>
      </w:r>
      <w:r w:rsidR="00015F2F" w:rsidRPr="00E1723F">
        <w:rPr>
          <w:rFonts w:ascii="Arial Narrow" w:eastAsiaTheme="majorEastAsia" w:hAnsi="Arial Narrow" w:cs="Arial"/>
          <w:b/>
          <w:u w:val="single"/>
          <w:lang w:eastAsia="en-US"/>
        </w:rPr>
        <w:t xml:space="preserve">o </w:t>
      </w:r>
      <w:r w:rsidR="008E57D8" w:rsidRPr="00E1723F">
        <w:rPr>
          <w:rFonts w:ascii="Arial Narrow" w:eastAsiaTheme="majorEastAsia" w:hAnsi="Arial Narrow" w:cs="Arial"/>
          <w:b/>
          <w:u w:val="single"/>
          <w:lang w:eastAsia="en-US"/>
        </w:rPr>
        <w:t>21</w:t>
      </w:r>
      <w:r w:rsidR="00015F2F" w:rsidRPr="00E1723F">
        <w:rPr>
          <w:rFonts w:ascii="Arial Narrow" w:eastAsiaTheme="majorEastAsia" w:hAnsi="Arial Narrow" w:cs="Arial"/>
          <w:b/>
          <w:u w:val="single"/>
          <w:lang w:eastAsia="en-US"/>
        </w:rPr>
        <w:t xml:space="preserve"> dni od dnia zawarcia umowy</w:t>
      </w:r>
      <w:r w:rsidR="00AC06FC" w:rsidRPr="00E1723F">
        <w:rPr>
          <w:rFonts w:ascii="Arial Narrow" w:eastAsiaTheme="majorEastAsia" w:hAnsi="Arial Narrow" w:cs="Arial"/>
          <w:b/>
          <w:u w:val="single"/>
          <w:lang w:eastAsia="en-US"/>
        </w:rPr>
        <w:t>.</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w:t>
      </w:r>
      <w:r w:rsidRPr="00E1723F">
        <w:rPr>
          <w:rFonts w:ascii="Arial Narrow" w:hAnsi="Arial Narrow" w:cs="Arial"/>
        </w:rPr>
        <w:lastRenderedPageBreak/>
        <w:t xml:space="preserve">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EB3A5CD"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63FADB88" w14:textId="345F0996" w:rsidR="00065CE9"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1A1F772E" w14:textId="29C4EB84" w:rsidR="00E22353" w:rsidRPr="00E1723F" w:rsidRDefault="00E22353" w:rsidP="00065CE9">
      <w:pPr>
        <w:pStyle w:val="Akapitzlist"/>
        <w:autoSpaceDE w:val="0"/>
        <w:autoSpaceDN w:val="0"/>
        <w:ind w:left="851" w:hanging="567"/>
        <w:jc w:val="both"/>
        <w:rPr>
          <w:rFonts w:ascii="Arial Narrow" w:hAnsi="Arial Narrow" w:cs="Arial"/>
        </w:rPr>
      </w:pPr>
      <w:r w:rsidRPr="00E1723F">
        <w:rPr>
          <w:rFonts w:ascii="Arial Narrow" w:hAnsi="Arial Narrow" w:cs="Arial"/>
        </w:rPr>
        <w:t xml:space="preserve">Uwagi: </w:t>
      </w:r>
    </w:p>
    <w:p w14:paraId="442BF042" w14:textId="6E5B71E1" w:rsidR="00AC1CD8" w:rsidRPr="00E1723F" w:rsidRDefault="00E14DCB"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rPr>
        <w:t>Oświadczeni</w:t>
      </w:r>
      <w:r w:rsidR="00EC4C30" w:rsidRPr="00E1723F">
        <w:rPr>
          <w:rFonts w:ascii="Arial Narrow" w:hAnsi="Arial Narrow" w:cs="Arial"/>
        </w:rPr>
        <w:t>a</w:t>
      </w:r>
      <w:r w:rsidR="005D52FE" w:rsidRPr="00E1723F">
        <w:rPr>
          <w:rFonts w:ascii="Arial Narrow" w:hAnsi="Arial Narrow" w:cs="Arial"/>
        </w:rPr>
        <w:t xml:space="preserve"> </w:t>
      </w:r>
      <w:r w:rsidR="00AC1CD8" w:rsidRPr="00E1723F">
        <w:rPr>
          <w:rFonts w:ascii="Arial Narrow" w:hAnsi="Arial Narrow" w:cs="Arial"/>
        </w:rPr>
        <w:t xml:space="preserve">składane </w:t>
      </w:r>
      <w:r w:rsidR="00011FAA" w:rsidRPr="00E1723F">
        <w:rPr>
          <w:rFonts w:ascii="Arial Narrow" w:hAnsi="Arial Narrow" w:cs="Arial"/>
        </w:rPr>
        <w:t>s</w:t>
      </w:r>
      <w:r w:rsidR="005D52FE" w:rsidRPr="00E1723F">
        <w:rPr>
          <w:rFonts w:ascii="Arial Narrow" w:hAnsi="Arial Narrow" w:cs="Arial"/>
        </w:rPr>
        <w:t xml:space="preserve">ą </w:t>
      </w:r>
      <w:r w:rsidR="00E22353" w:rsidRPr="00E1723F">
        <w:rPr>
          <w:rFonts w:ascii="Arial Narrow" w:hAnsi="Arial Narrow" w:cs="Arial"/>
        </w:rPr>
        <w:t xml:space="preserve">wyłącznie </w:t>
      </w:r>
      <w:r w:rsidR="00AC1CD8" w:rsidRPr="00E1723F">
        <w:rPr>
          <w:rFonts w:ascii="Arial Narrow" w:hAnsi="Arial Narrow" w:cs="Arial"/>
        </w:rPr>
        <w:t>pod rygorem nieważności w formie elektronicznej lub w postaci elektronicznej opatrzonej podpisem zaufanym lub podpisem osobistym.</w:t>
      </w:r>
    </w:p>
    <w:p w14:paraId="64ACF7EE" w14:textId="77777777" w:rsidR="00115007" w:rsidRPr="00E1723F" w:rsidRDefault="00AC1CD8" w:rsidP="00F9678B">
      <w:pPr>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lastRenderedPageBreak/>
        <w:t>Oświadczeni</w:t>
      </w:r>
      <w:r w:rsidR="00927C16" w:rsidRPr="00E1723F">
        <w:rPr>
          <w:rFonts w:ascii="Arial Narrow" w:hAnsi="Arial Narrow" w:cs="Arial"/>
          <w:b/>
          <w:bCs/>
        </w:rPr>
        <w:t>e o braku podstaw do wykluczenia</w:t>
      </w:r>
      <w:r w:rsidRPr="00E1723F">
        <w:rPr>
          <w:rFonts w:ascii="Arial Narrow" w:hAnsi="Arial Narrow" w:cs="Arial"/>
          <w:b/>
          <w:bCs/>
        </w:rPr>
        <w:t xml:space="preserve"> składa</w:t>
      </w:r>
      <w:r w:rsidR="005B68C9" w:rsidRPr="00E1723F">
        <w:rPr>
          <w:rFonts w:ascii="Arial Narrow" w:hAnsi="Arial Narrow" w:cs="Arial"/>
          <w:b/>
          <w:bCs/>
        </w:rPr>
        <w:t>ją</w:t>
      </w:r>
      <w:r w:rsidR="00225666" w:rsidRPr="00E1723F">
        <w:rPr>
          <w:rFonts w:ascii="Arial Narrow" w:hAnsi="Arial Narrow" w:cs="Arial"/>
          <w:b/>
          <w:bCs/>
        </w:rPr>
        <w:t xml:space="preserve"> </w:t>
      </w:r>
      <w:r w:rsidR="009615B1" w:rsidRPr="00E1723F">
        <w:rPr>
          <w:rFonts w:ascii="Arial Narrow" w:hAnsi="Arial Narrow" w:cs="Arial"/>
          <w:b/>
          <w:bCs/>
        </w:rPr>
        <w:t>odrębnie</w:t>
      </w:r>
      <w:r w:rsidR="00115007" w:rsidRPr="00E1723F">
        <w:rPr>
          <w:rFonts w:ascii="Arial Narrow" w:hAnsi="Arial Narrow" w:cs="Arial"/>
          <w:b/>
          <w:bCs/>
        </w:rPr>
        <w:t>:</w:t>
      </w:r>
    </w:p>
    <w:p w14:paraId="24423979" w14:textId="77777777" w:rsidR="00B33F3D" w:rsidRPr="00E1723F" w:rsidRDefault="00AC1CD8"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wykonawca/każdy spośród w</w:t>
      </w:r>
      <w:r w:rsidR="009615B1" w:rsidRPr="00E1723F">
        <w:rPr>
          <w:rFonts w:ascii="Arial Narrow" w:hAnsi="Arial Narrow" w:cs="Arial"/>
        </w:rPr>
        <w:t>ykonawców wspólnie ubiegających się o udzielenie zamówienia</w:t>
      </w:r>
      <w:r w:rsidR="00115007" w:rsidRPr="00E1723F">
        <w:rPr>
          <w:rFonts w:ascii="Arial Narrow" w:hAnsi="Arial Narrow" w:cs="Arial"/>
        </w:rPr>
        <w:t>.</w:t>
      </w:r>
    </w:p>
    <w:p w14:paraId="73DA740E" w14:textId="1BA38EC8" w:rsidR="00641F5C" w:rsidRPr="00E1723F" w:rsidRDefault="00115007"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p</w:t>
      </w:r>
      <w:r w:rsidR="009615B1" w:rsidRPr="00E1723F">
        <w:rPr>
          <w:rFonts w:ascii="Arial Narrow" w:hAnsi="Arial Narrow" w:cs="Arial"/>
        </w:rPr>
        <w:t xml:space="preserve">odmiot trzeci, na którego potencjał powołuje </w:t>
      </w:r>
      <w:r w:rsidR="00AC1CD8" w:rsidRPr="00E1723F">
        <w:rPr>
          <w:rFonts w:ascii="Arial Narrow" w:hAnsi="Arial Narrow" w:cs="Arial"/>
        </w:rPr>
        <w:t>się w</w:t>
      </w:r>
      <w:r w:rsidR="009615B1" w:rsidRPr="00E1723F">
        <w:rPr>
          <w:rFonts w:ascii="Arial Narrow" w:hAnsi="Arial Narrow" w:cs="Arial"/>
        </w:rPr>
        <w:t>ykonawca celem potwierdzenia spełnienia warunków udziału w postępowaniu</w:t>
      </w:r>
      <w:r w:rsidRPr="00E1723F">
        <w:rPr>
          <w:rFonts w:ascii="Arial Narrow" w:hAnsi="Arial Narrow" w:cs="Arial"/>
        </w:rPr>
        <w:t xml:space="preserve"> (o ile dotyczy)</w:t>
      </w:r>
      <w:r w:rsidR="009615B1" w:rsidRPr="00E1723F">
        <w:rPr>
          <w:rFonts w:ascii="Arial Narrow" w:hAnsi="Arial Narrow" w:cs="Arial"/>
        </w:rPr>
        <w:t>.</w:t>
      </w:r>
      <w:r w:rsidR="00AC1CD8" w:rsidRPr="00E1723F">
        <w:rPr>
          <w:rFonts w:ascii="Arial Narrow" w:hAnsi="Arial Narrow" w:cs="Arial"/>
        </w:rPr>
        <w:t xml:space="preserve"> W takim przypadku oświadczeni</w:t>
      </w:r>
      <w:r w:rsidR="00EC4C30" w:rsidRPr="00E1723F">
        <w:rPr>
          <w:rFonts w:ascii="Arial Narrow" w:hAnsi="Arial Narrow" w:cs="Arial"/>
        </w:rPr>
        <w:t>a</w:t>
      </w:r>
      <w:r w:rsidR="00AC1CD8" w:rsidRPr="00E1723F">
        <w:rPr>
          <w:rFonts w:ascii="Arial Narrow" w:hAnsi="Arial Narrow" w:cs="Arial"/>
        </w:rPr>
        <w:t xml:space="preserve"> potwierdza</w:t>
      </w:r>
      <w:r w:rsidR="00EC4C30" w:rsidRPr="00E1723F">
        <w:rPr>
          <w:rFonts w:ascii="Arial Narrow" w:hAnsi="Arial Narrow" w:cs="Arial"/>
        </w:rPr>
        <w:t>ją</w:t>
      </w:r>
      <w:r w:rsidR="00AC1CD8" w:rsidRPr="00E1723F">
        <w:rPr>
          <w:rFonts w:ascii="Arial Narrow" w:hAnsi="Arial Narrow" w:cs="Arial"/>
        </w:rPr>
        <w:t xml:space="preserve"> brak podstaw wykluczenia podmiotu oraz spełnianie warunków udziału w postępowaniu </w:t>
      </w:r>
      <w:r w:rsidRPr="00E1723F">
        <w:rPr>
          <w:rFonts w:ascii="Arial Narrow" w:hAnsi="Arial Narrow" w:cs="Arial"/>
        </w:rPr>
        <w:t xml:space="preserve">(o ile dotyczy) </w:t>
      </w:r>
      <w:r w:rsidR="00AC1CD8" w:rsidRPr="00E1723F">
        <w:rPr>
          <w:rFonts w:ascii="Arial Narrow" w:hAnsi="Arial Narrow" w:cs="Arial"/>
        </w:rPr>
        <w:t>w zakresie, w jakim podmiot udostępnia swoje zasoby wykonawcy</w:t>
      </w:r>
      <w:r w:rsidRPr="00E1723F">
        <w:rPr>
          <w:rFonts w:ascii="Arial Narrow" w:hAnsi="Arial Narrow" w:cs="Arial"/>
        </w:rPr>
        <w:t>.</w:t>
      </w:r>
    </w:p>
    <w:p w14:paraId="1EA32025" w14:textId="77777777" w:rsidR="000C0411" w:rsidRPr="00E1723F" w:rsidRDefault="00514BAF"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b/>
        </w:rPr>
        <w:t>Samooczyszczenie</w:t>
      </w:r>
      <w:r w:rsidR="00225666" w:rsidRPr="00E1723F">
        <w:rPr>
          <w:rFonts w:ascii="Arial Narrow" w:hAnsi="Arial Narrow" w:cs="Arial"/>
          <w:b/>
        </w:rPr>
        <w:t xml:space="preserve"> </w:t>
      </w:r>
      <w:r w:rsidR="008B58DE" w:rsidRPr="00E1723F">
        <w:rPr>
          <w:rFonts w:ascii="Arial Narrow" w:hAnsi="Arial Narrow" w:cs="Arial"/>
        </w:rPr>
        <w:t>–</w:t>
      </w:r>
      <w:r w:rsidRPr="00E1723F">
        <w:rPr>
          <w:rFonts w:ascii="Arial Narrow" w:hAnsi="Arial Narrow" w:cs="Arial"/>
        </w:rPr>
        <w:t xml:space="preserve"> w</w:t>
      </w:r>
      <w:r w:rsidR="000C0411" w:rsidRPr="00E1723F">
        <w:rPr>
          <w:rFonts w:ascii="Arial Narrow" w:hAnsi="Arial Narrow" w:cs="Arial"/>
        </w:rPr>
        <w:t xml:space="preserve"> okolicznościach określonych w art. 108 ust. 1 pkt 1, 2</w:t>
      </w:r>
      <w:r w:rsidR="0055601E" w:rsidRPr="00E1723F">
        <w:rPr>
          <w:rFonts w:ascii="Arial Narrow" w:hAnsi="Arial Narrow" w:cs="Arial"/>
        </w:rPr>
        <w:t xml:space="preserve"> i</w:t>
      </w:r>
      <w:r w:rsidR="000C0411" w:rsidRPr="00E1723F">
        <w:rPr>
          <w:rFonts w:ascii="Arial Narrow" w:hAnsi="Arial Narrow" w:cs="Arial"/>
        </w:rPr>
        <w:t xml:space="preserve"> 5 ustawy Pzp, wykonawca nie podlega wykluczeniu jeżeli udowodni zamawiającemu, że spełnił </w:t>
      </w:r>
      <w:r w:rsidR="000C0411" w:rsidRPr="00E1723F">
        <w:rPr>
          <w:rFonts w:ascii="Arial Narrow" w:hAnsi="Arial Narrow" w:cs="Arial"/>
          <w:b/>
        </w:rPr>
        <w:t>łącznie</w:t>
      </w:r>
      <w:r w:rsidR="000C0411" w:rsidRPr="00E1723F">
        <w:rPr>
          <w:rFonts w:ascii="Arial Narrow" w:hAnsi="Arial Narrow" w:cs="Arial"/>
        </w:rPr>
        <w:t xml:space="preserve"> następujące przesłanki:</w:t>
      </w:r>
    </w:p>
    <w:p w14:paraId="4CD5574A"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naprawił lub zobowiązał się do naprawienia szkody wyrządzonej przestępstwem, wykroczeniem lub swoim nieprawidłowym postępowaniem, w tym poprzez zadośćuczynienie pieniężne;</w:t>
      </w:r>
    </w:p>
    <w:p w14:paraId="6E1BBFCC"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podjął konkretne środki techniczne, organizacyjne i kadrowe, odpowiednie dla zapobiegania dalszym przestępstwom, wykroczeniom lub nieprawidłowemu postępowaniu, w szczególności:</w:t>
      </w:r>
    </w:p>
    <w:p w14:paraId="03B93BB9"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zerwał wszelkie powiązania z osobami lub podmiotami odpowiedzialnymi za nieprawidłowe postępowanie wykonawcy,</w:t>
      </w:r>
    </w:p>
    <w:p w14:paraId="7434E26C"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zreorganizował personel,</w:t>
      </w:r>
    </w:p>
    <w:p w14:paraId="50381DAA"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wdrożył system sprawozdawczości i kontroli,</w:t>
      </w:r>
    </w:p>
    <w:p w14:paraId="1BA62ECE"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utworzył struktury audytu wewnętrznego do monitorowania przestrzegania przepisów, wewnętrznych regulacji lub standardów,</w:t>
      </w:r>
    </w:p>
    <w:p w14:paraId="54E77044" w14:textId="515E666F"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wprowadził wewnętrzne regulacje dotyczące odpowiedzialności i odszkodowań za nieprzestrzeganie przepisów, wewnętrznych regulacji lub standardów.</w:t>
      </w:r>
    </w:p>
    <w:p w14:paraId="4DCAC8C7" w14:textId="1D4916AD" w:rsidR="000C0411" w:rsidRPr="00E1723F" w:rsidRDefault="000C0411" w:rsidP="00B33F3D">
      <w:pPr>
        <w:pStyle w:val="Tekstpodstawowy"/>
        <w:spacing w:after="0"/>
        <w:ind w:left="567" w:right="23"/>
        <w:jc w:val="both"/>
        <w:rPr>
          <w:rFonts w:ascii="Arial Narrow" w:hAnsi="Arial Narrow" w:cs="Arial"/>
          <w:b/>
        </w:rPr>
      </w:pPr>
      <w:r w:rsidRPr="00E1723F">
        <w:rPr>
          <w:rFonts w:ascii="Arial Narrow" w:hAnsi="Arial Narrow" w:cs="Arial"/>
          <w:b/>
        </w:rPr>
        <w:t xml:space="preserve">Zamawiający ocenia, czy podjęte przez wykonawcę czynności są </w:t>
      </w:r>
      <w:r w:rsidR="00B33F3D" w:rsidRPr="00E1723F">
        <w:rPr>
          <w:rFonts w:ascii="Arial Narrow" w:hAnsi="Arial Narrow" w:cs="Arial"/>
          <w:b/>
        </w:rPr>
        <w:t xml:space="preserve">wystarczające do wykazania jego </w:t>
      </w:r>
      <w:r w:rsidRPr="00E1723F">
        <w:rPr>
          <w:rFonts w:ascii="Arial Narrow" w:hAnsi="Arial Narrow" w:cs="Arial"/>
          <w:b/>
        </w:rPr>
        <w:t>rzetelności, uwzględniając wagę i szczególne okoliczności czynu wykonawcy, a jeżeli uzna</w:t>
      </w:r>
      <w:r w:rsidR="005F74F8" w:rsidRPr="00E1723F">
        <w:rPr>
          <w:rFonts w:ascii="Arial Narrow" w:hAnsi="Arial Narrow" w:cs="Arial"/>
          <w:b/>
        </w:rPr>
        <w:t>,</w:t>
      </w:r>
      <w:r w:rsidRPr="00E1723F">
        <w:rPr>
          <w:rFonts w:ascii="Arial Narrow" w:hAnsi="Arial Narrow" w:cs="Arial"/>
          <w:b/>
        </w:rPr>
        <w:t xml:space="preserve"> że nie są wystarczające, wyklucza wykonawcę.</w:t>
      </w:r>
    </w:p>
    <w:p w14:paraId="77855F98" w14:textId="77777777" w:rsidR="0078519A" w:rsidRPr="00E1723F" w:rsidRDefault="0078519A" w:rsidP="00F9678B">
      <w:pPr>
        <w:numPr>
          <w:ilvl w:val="0"/>
          <w:numId w:val="14"/>
        </w:numPr>
        <w:autoSpaceDE w:val="0"/>
        <w:autoSpaceDN w:val="0"/>
        <w:ind w:left="284" w:hanging="284"/>
        <w:jc w:val="both"/>
        <w:rPr>
          <w:rFonts w:ascii="Arial Narrow" w:hAnsi="Arial Narrow" w:cs="Arial"/>
          <w:i/>
        </w:rPr>
      </w:pPr>
      <w:r w:rsidRPr="00E1723F">
        <w:rPr>
          <w:rFonts w:ascii="Arial Narrow" w:hAnsi="Arial Narrow" w:cs="Arial"/>
        </w:rPr>
        <w:t>Do oferty wykonawca załącza również:</w:t>
      </w:r>
    </w:p>
    <w:p w14:paraId="52B13A3C"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 xml:space="preserve">Pełnomocnictwo  </w:t>
      </w:r>
    </w:p>
    <w:p w14:paraId="7413FEEA"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Gdy umocowanie osoby składającej ofertę nie wynika z dokumentów rejestrowych</w:t>
      </w:r>
      <w:r w:rsidR="005F74F8" w:rsidRPr="00E1723F">
        <w:rPr>
          <w:rFonts w:ascii="Arial Narrow" w:hAnsi="Arial Narrow" w:cs="Arial"/>
        </w:rPr>
        <w:t>,</w:t>
      </w:r>
      <w:r w:rsidRPr="00E1723F">
        <w:rPr>
          <w:rFonts w:ascii="Arial Narrow" w:hAnsi="Arial Narrow" w:cs="Arial"/>
        </w:rPr>
        <w:t xml:space="preserve"> wykonawca, który składa ofertę za pośrednictwem pełnomocnika, </w:t>
      </w:r>
      <w:r w:rsidR="005F74F8" w:rsidRPr="00E1723F">
        <w:rPr>
          <w:rFonts w:ascii="Arial Narrow" w:hAnsi="Arial Narrow" w:cs="Arial"/>
        </w:rPr>
        <w:t>po</w:t>
      </w:r>
      <w:r w:rsidRPr="00E1723F">
        <w:rPr>
          <w:rFonts w:ascii="Arial Narrow" w:hAnsi="Arial Narrow" w:cs="Arial"/>
        </w:rPr>
        <w:t>winien dołączyć</w:t>
      </w:r>
      <w:r w:rsidR="00225666" w:rsidRPr="00E1723F">
        <w:rPr>
          <w:rFonts w:ascii="Arial Narrow" w:hAnsi="Arial Narrow" w:cs="Arial"/>
        </w:rPr>
        <w:t xml:space="preserve"> </w:t>
      </w:r>
      <w:r w:rsidRPr="00E1723F">
        <w:rPr>
          <w:rFonts w:ascii="Arial Narrow" w:hAnsi="Arial Narrow" w:cs="Arial"/>
        </w:rPr>
        <w:t>do oferty</w:t>
      </w:r>
      <w:r w:rsidR="00225666" w:rsidRPr="00E1723F">
        <w:rPr>
          <w:rFonts w:ascii="Arial Narrow" w:hAnsi="Arial Narrow" w:cs="Arial"/>
        </w:rPr>
        <w:t xml:space="preserve"> </w:t>
      </w:r>
      <w:r w:rsidRPr="00E1723F">
        <w:rPr>
          <w:rFonts w:ascii="Arial Narrow" w:hAnsi="Arial Narrow" w:cs="Arial"/>
        </w:rPr>
        <w:t xml:space="preserve">dokument pełnomocnictwa obejmujący swym zakresem umocowanie do złożenia oferty lub do złożenia oferty i podpisania umowy. </w:t>
      </w:r>
    </w:p>
    <w:p w14:paraId="3E273F29" w14:textId="77777777" w:rsidR="0078519A" w:rsidRPr="00E1723F" w:rsidRDefault="0078519A" w:rsidP="00F9678B">
      <w:pPr>
        <w:pStyle w:val="Tekstpodstawowy"/>
        <w:numPr>
          <w:ilvl w:val="0"/>
          <w:numId w:val="5"/>
        </w:numPr>
        <w:spacing w:after="0"/>
        <w:ind w:left="851" w:right="23" w:hanging="284"/>
        <w:jc w:val="both"/>
        <w:rPr>
          <w:rFonts w:ascii="Arial Narrow" w:hAnsi="Arial Narrow" w:cs="Arial"/>
        </w:rPr>
      </w:pPr>
      <w:r w:rsidRPr="00E1723F">
        <w:rPr>
          <w:rFonts w:ascii="Arial Narrow" w:hAnsi="Arial Narrow" w:cs="Arial"/>
        </w:rPr>
        <w:t>W przypadku wykonawców ubiegających się wsp</w:t>
      </w:r>
      <w:r w:rsidR="005A7BEC" w:rsidRPr="00E1723F">
        <w:rPr>
          <w:rFonts w:ascii="Arial Narrow" w:hAnsi="Arial Narrow" w:cs="Arial"/>
        </w:rPr>
        <w:t>ólnie o udzielenie zamówienia w</w:t>
      </w:r>
      <w:r w:rsidRPr="00E1723F">
        <w:rPr>
          <w:rFonts w:ascii="Arial Narrow" w:hAnsi="Arial Narrow"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1723F" w:rsidRDefault="00E72E22" w:rsidP="00B346D9">
      <w:pPr>
        <w:ind w:left="567"/>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Pełnomocnictwo powinno być załączone do oferty i powinno zawierać w szczególności wskazanie:</w:t>
      </w:r>
    </w:p>
    <w:p w14:paraId="071FDD1D" w14:textId="77777777" w:rsidR="00E72E22" w:rsidRPr="00E1723F" w:rsidRDefault="00E72E22" w:rsidP="00F9678B">
      <w:pPr>
        <w:numPr>
          <w:ilvl w:val="0"/>
          <w:numId w:val="3"/>
        </w:numPr>
        <w:ind w:left="567" w:firstLine="0"/>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postępowania o zamówienie publiczne, którego dotyczy,</w:t>
      </w:r>
    </w:p>
    <w:p w14:paraId="6C726259" w14:textId="77777777" w:rsidR="00E72E22" w:rsidRPr="00E1723F" w:rsidRDefault="00E72E22"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wszystkich wykonawców ubiegających się wspólnie o udzielenie zamówienia wymienionych z nazwy z określeniem adresu siedziby,</w:t>
      </w:r>
    </w:p>
    <w:p w14:paraId="7B33E5BB" w14:textId="77777777" w:rsidR="00E72E22" w:rsidRPr="00E1723F" w:rsidRDefault="005A7BEC"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ustanowionego p</w:t>
      </w:r>
      <w:r w:rsidR="00E72E22" w:rsidRPr="00E1723F">
        <w:rPr>
          <w:rFonts w:ascii="Arial Narrow" w:eastAsiaTheme="majorEastAsia" w:hAnsi="Arial Narrow" w:cs="Arial"/>
          <w:bCs/>
          <w:lang w:eastAsia="en-US"/>
        </w:rPr>
        <w:t>ełnomocnika oraz zakresu jego umocowania.</w:t>
      </w:r>
    </w:p>
    <w:p w14:paraId="11014021" w14:textId="77777777" w:rsidR="005A7BEC"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7805FBF0" w14:textId="77777777" w:rsidR="005A7BEC" w:rsidRPr="00E1723F" w:rsidRDefault="004835A1" w:rsidP="00B346D9">
      <w:pPr>
        <w:pStyle w:val="Tekstpodstawowy"/>
        <w:spacing w:after="0"/>
        <w:ind w:left="567" w:right="20"/>
        <w:jc w:val="both"/>
        <w:rPr>
          <w:rFonts w:ascii="Arial Narrow" w:hAnsi="Arial Narrow" w:cs="Arial"/>
        </w:rPr>
      </w:pPr>
      <w:r w:rsidRPr="00E1723F">
        <w:rPr>
          <w:rFonts w:ascii="Arial Narrow" w:hAnsi="Arial Narrow" w:cs="Arial"/>
        </w:rPr>
        <w:lastRenderedPageBreak/>
        <w:t xml:space="preserve">Pełnomocnictwo powinno zostać złożone </w:t>
      </w:r>
      <w:r w:rsidR="005A7BEC" w:rsidRPr="00E1723F">
        <w:rPr>
          <w:rFonts w:ascii="Arial Narrow" w:hAnsi="Arial Narrow" w:cs="Arial"/>
        </w:rPr>
        <w:t xml:space="preserve">w formie elektronicznej lub w postaci elektronicznej opatrzonej podpisem zaufanym, lub podpisem osobistym. </w:t>
      </w:r>
    </w:p>
    <w:p w14:paraId="5C186B7F" w14:textId="4D4CF60F" w:rsidR="00B41322" w:rsidRPr="00E1723F" w:rsidRDefault="00DC3711" w:rsidP="00B346D9">
      <w:pPr>
        <w:pStyle w:val="Tekstpodstawowy"/>
        <w:spacing w:after="0"/>
        <w:ind w:left="567" w:right="23"/>
        <w:jc w:val="both"/>
        <w:rPr>
          <w:rFonts w:ascii="Arial Narrow" w:hAnsi="Arial Narrow" w:cs="Arial"/>
          <w:b/>
          <w:bCs/>
        </w:rPr>
      </w:pPr>
      <w:r w:rsidRPr="00E1723F">
        <w:rPr>
          <w:rFonts w:ascii="Arial Narrow" w:hAnsi="Arial Narrow" w:cs="Arial"/>
          <w:b/>
          <w:bCs/>
        </w:rPr>
        <w:t>Dopuszcza się również przedłożenie elektronicznej kopii dokumentu poświadczonej</w:t>
      </w:r>
      <w:r w:rsidR="005A7BEC" w:rsidRPr="00E1723F">
        <w:rPr>
          <w:rFonts w:ascii="Arial Narrow" w:hAnsi="Arial Narrow" w:cs="Arial"/>
          <w:b/>
          <w:bCs/>
        </w:rPr>
        <w:t xml:space="preserve"> za zgodność z oryginałem</w:t>
      </w:r>
      <w:r w:rsidRPr="00E1723F">
        <w:rPr>
          <w:rFonts w:ascii="Arial Narrow" w:hAnsi="Arial Narrow" w:cs="Arial"/>
          <w:b/>
          <w:bCs/>
        </w:rPr>
        <w:t xml:space="preserve"> przez notariusza, tj. podpisanej</w:t>
      </w:r>
      <w:r w:rsidR="005A7BEC" w:rsidRPr="00E1723F">
        <w:rPr>
          <w:rFonts w:ascii="Arial Narrow" w:hAnsi="Arial Narrow" w:cs="Arial"/>
          <w:b/>
          <w:bCs/>
        </w:rPr>
        <w:t xml:space="preserve"> kwalifikowanym podpisem elektronicznym osoby posiadającej uprawnienia notariusza</w:t>
      </w:r>
      <w:r w:rsidR="005F74F8"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30DB5CA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 xml:space="preserve">Nie dotyczy </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77777777"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lastRenderedPageBreak/>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4"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 xml:space="preserve">W cenie oferty powinny być uwzględnione w szczególności wszystkie należności </w:t>
      </w:r>
      <w:proofErr w:type="spellStart"/>
      <w:r w:rsidRPr="00E1723F">
        <w:rPr>
          <w:rFonts w:ascii="Arial Narrow" w:hAnsi="Arial Narrow" w:cs="Arial"/>
        </w:rPr>
        <w:t>publiczno</w:t>
      </w:r>
      <w:proofErr w:type="spellEnd"/>
      <w:r w:rsidRPr="00E1723F">
        <w:rPr>
          <w:rFonts w:ascii="Arial Narrow" w:hAnsi="Arial Narrow" w:cs="Arial"/>
        </w:rPr>
        <w:t xml:space="preserve">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lastRenderedPageBreak/>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6"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w:t>
      </w:r>
      <w:proofErr w:type="spellStart"/>
      <w:r w:rsidR="004B06C6" w:rsidRPr="00E1723F">
        <w:rPr>
          <w:rFonts w:ascii="Arial Narrow" w:hAnsi="Arial Narrow" w:cs="Arial"/>
        </w:rPr>
        <w:t>ePuap</w:t>
      </w:r>
      <w:proofErr w:type="spellEnd"/>
      <w:r w:rsidR="004B06C6" w:rsidRPr="00E1723F">
        <w:rPr>
          <w:rFonts w:ascii="Arial Narrow" w:hAnsi="Arial Narrow" w:cs="Arial"/>
        </w:rPr>
        <w:t xml:space="preserve">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formatów: .pdf .</w:t>
      </w:r>
      <w:proofErr w:type="spellStart"/>
      <w:r w:rsidRPr="00E1723F">
        <w:rPr>
          <w:rFonts w:ascii="Arial Narrow" w:hAnsi="Arial Narrow" w:cs="Arial"/>
        </w:rPr>
        <w:t>doc</w:t>
      </w:r>
      <w:proofErr w:type="spellEnd"/>
      <w:r w:rsidRPr="00E1723F">
        <w:rPr>
          <w:rFonts w:ascii="Arial Narrow" w:hAnsi="Arial Narrow" w:cs="Arial"/>
        </w:rPr>
        <w:t xml:space="preserve">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E1723F">
        <w:rPr>
          <w:rFonts w:ascii="Arial Narrow" w:hAnsi="Arial Narrow" w:cs="Arial"/>
        </w:rPr>
        <w:t>eDoApp</w:t>
      </w:r>
      <w:proofErr w:type="spellEnd"/>
      <w:r w:rsidRPr="00E1723F">
        <w:rPr>
          <w:rFonts w:ascii="Arial Narrow" w:hAnsi="Arial Narrow" w:cs="Arial"/>
        </w:rPr>
        <w:t xml:space="preserve">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1723F">
        <w:rPr>
          <w:rFonts w:ascii="Arial Narrow" w:hAnsi="Arial Narrow" w:cs="Arial"/>
        </w:rPr>
        <w:t>PAdES</w:t>
      </w:r>
      <w:proofErr w:type="spellEnd"/>
      <w:r w:rsidRPr="00E1723F">
        <w:rPr>
          <w:rFonts w:ascii="Arial Narrow" w:hAnsi="Arial Narrow" w:cs="Arial"/>
        </w:rPr>
        <w:t>.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Pliki w innych formatach niż PDF zaleca się opatrzyć zewnętrznym podpisem </w:t>
      </w:r>
      <w:proofErr w:type="spellStart"/>
      <w:r w:rsidRPr="00E1723F">
        <w:rPr>
          <w:rFonts w:ascii="Arial Narrow" w:hAnsi="Arial Narrow" w:cs="Arial"/>
        </w:rPr>
        <w:t>XAdES</w:t>
      </w:r>
      <w:proofErr w:type="spellEnd"/>
      <w:r w:rsidRPr="00E1723F">
        <w:rPr>
          <w:rFonts w:ascii="Arial Narrow" w:hAnsi="Arial Narrow" w:cs="Arial"/>
        </w:rPr>
        <w:t>.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t xml:space="preserve">Zamawiający zaleca aby </w:t>
      </w:r>
      <w:r w:rsidRPr="00E1723F">
        <w:rPr>
          <w:rFonts w:ascii="Arial Narrow" w:hAnsi="Arial Narrow" w:cs="Arial"/>
          <w:u w:val="single"/>
        </w:rPr>
        <w:t>nie</w:t>
      </w:r>
      <w:r w:rsidRPr="00E1723F">
        <w:rPr>
          <w:rFonts w:ascii="Arial Narrow" w:hAnsi="Arial Narrow" w:cs="Arial"/>
        </w:rPr>
        <w:t xml:space="preserve"> wprowadzać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lastRenderedPageBreak/>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07761CAD"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510935" w:rsidRPr="00E1723F">
        <w:rPr>
          <w:rFonts w:ascii="Arial Narrow" w:hAnsi="Arial Narrow" w:cs="Arial"/>
          <w:b/>
        </w:rPr>
        <w:t>10</w:t>
      </w:r>
      <w:r w:rsidR="005A33D2" w:rsidRPr="00E1723F">
        <w:rPr>
          <w:rFonts w:ascii="Arial Narrow" w:hAnsi="Arial Narrow" w:cs="Arial"/>
          <w:b/>
        </w:rPr>
        <w:t>.</w:t>
      </w:r>
      <w:r w:rsidR="00F21F05" w:rsidRPr="00E1723F">
        <w:rPr>
          <w:rFonts w:ascii="Arial Narrow" w:hAnsi="Arial Narrow" w:cs="Arial"/>
          <w:b/>
        </w:rPr>
        <w:t>0</w:t>
      </w:r>
      <w:r w:rsidR="008E57D8" w:rsidRPr="00E1723F">
        <w:rPr>
          <w:rFonts w:ascii="Arial Narrow" w:hAnsi="Arial Narrow" w:cs="Arial"/>
          <w:b/>
        </w:rPr>
        <w:t>6</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 xml:space="preserve">W przypadku złożenia oferty i składających się na nią dokumentów i oświadczeń przez </w:t>
      </w:r>
      <w:proofErr w:type="spellStart"/>
      <w:r w:rsidRPr="00E1723F">
        <w:rPr>
          <w:rFonts w:ascii="Arial Narrow" w:hAnsi="Arial Narrow" w:cs="Arial"/>
        </w:rPr>
        <w:t>osob</w:t>
      </w:r>
      <w:proofErr w:type="spellEnd"/>
      <w:r w:rsidRPr="00E1723F">
        <w:rPr>
          <w:rFonts w:ascii="Arial Narrow" w:hAnsi="Arial Narrow" w:cs="Arial"/>
        </w:rPr>
        <w:t xml:space="preserve">(ę) </w:t>
      </w:r>
      <w:proofErr w:type="spellStart"/>
      <w:r w:rsidRPr="00E1723F">
        <w:rPr>
          <w:rFonts w:ascii="Arial Narrow" w:hAnsi="Arial Narrow" w:cs="Arial"/>
        </w:rPr>
        <w:t>niewymienion</w:t>
      </w:r>
      <w:proofErr w:type="spellEnd"/>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Wykonawca po upływie terminu do składania ofert nie może wycofać złożonej oferty.</w:t>
      </w:r>
    </w:p>
    <w:p w14:paraId="700B9BA6" w14:textId="77777777" w:rsidR="00DD7352" w:rsidRDefault="00DD7352">
      <w:pPr>
        <w:rPr>
          <w:rFonts w:ascii="Arial Narrow" w:hAnsi="Arial Narrow" w:cs="Arial"/>
          <w:lang w:bidi="pl-PL"/>
        </w:rPr>
      </w:pPr>
      <w:r>
        <w:rPr>
          <w:rFonts w:ascii="Arial Narrow" w:hAnsi="Arial Narrow" w:cs="Arial"/>
          <w:lang w:bidi="pl-PL"/>
        </w:rPr>
        <w:br w:type="page"/>
      </w: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lastRenderedPageBreak/>
        <w:t>Termin otwarcia ofert</w:t>
      </w:r>
    </w:p>
    <w:p w14:paraId="1416D5E9" w14:textId="744B35A9"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510935" w:rsidRPr="00E1723F">
        <w:rPr>
          <w:rFonts w:ascii="Arial Narrow" w:hAnsi="Arial Narrow" w:cs="Arial"/>
          <w:b/>
        </w:rPr>
        <w:t>10</w:t>
      </w:r>
      <w:r w:rsidR="005A33D2" w:rsidRPr="00E1723F">
        <w:rPr>
          <w:rFonts w:ascii="Arial Narrow" w:hAnsi="Arial Narrow" w:cs="Arial"/>
          <w:b/>
        </w:rPr>
        <w:t>.</w:t>
      </w:r>
      <w:r w:rsidR="00F21F05" w:rsidRPr="00E1723F">
        <w:rPr>
          <w:rFonts w:ascii="Arial Narrow" w:hAnsi="Arial Narrow" w:cs="Arial"/>
          <w:b/>
        </w:rPr>
        <w:t>0</w:t>
      </w:r>
      <w:r w:rsidR="008E57D8" w:rsidRPr="00E1723F">
        <w:rPr>
          <w:rFonts w:ascii="Arial Narrow" w:hAnsi="Arial Narrow" w:cs="Arial"/>
          <w:b/>
        </w:rPr>
        <w:t>6</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6428C2" w:rsidRPr="00E1723F">
        <w:rPr>
          <w:rFonts w:ascii="Arial Narrow" w:hAnsi="Arial Narrow" w:cs="Arial"/>
          <w:b/>
        </w:rPr>
        <w:t>1</w:t>
      </w:r>
      <w:r w:rsidR="008E57D8" w:rsidRPr="00E1723F">
        <w:rPr>
          <w:rFonts w:ascii="Arial Narrow" w:hAnsi="Arial Narrow" w:cs="Arial"/>
          <w:b/>
        </w:rPr>
        <w:t>0</w:t>
      </w:r>
      <w:r w:rsidR="00F031DA" w:rsidRPr="00E1723F">
        <w:rPr>
          <w:rFonts w:ascii="Arial Narrow" w:hAnsi="Arial Narrow" w:cs="Arial"/>
          <w:b/>
        </w:rPr>
        <w:t>:</w:t>
      </w:r>
      <w:r w:rsidR="006428C2" w:rsidRPr="00E1723F">
        <w:rPr>
          <w:rFonts w:ascii="Arial Narrow" w:hAnsi="Arial Narrow" w:cs="Arial"/>
          <w:b/>
        </w:rPr>
        <w:t>0</w:t>
      </w:r>
      <w:r w:rsidR="00F031DA" w:rsidRPr="00E1723F">
        <w:rPr>
          <w:rFonts w:ascii="Arial Narrow" w:hAnsi="Arial Narrow" w:cs="Arial"/>
          <w:b/>
        </w:rPr>
        <w:t>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 xml:space="preserve">ofert przesłanych przez </w:t>
      </w:r>
      <w:proofErr w:type="spellStart"/>
      <w:r w:rsidR="00F031DA" w:rsidRPr="00E1723F">
        <w:rPr>
          <w:rFonts w:ascii="Arial Narrow" w:hAnsi="Arial Narrow" w:cs="Arial"/>
        </w:rPr>
        <w:t>miniPortal</w:t>
      </w:r>
      <w:proofErr w:type="spellEnd"/>
      <w:r w:rsidR="00F031DA" w:rsidRPr="00E1723F">
        <w:rPr>
          <w:rFonts w:ascii="Arial Narrow" w:hAnsi="Arial Narrow" w:cs="Arial"/>
        </w:rPr>
        <w:t>.</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1FCBC2D8"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510935" w:rsidRPr="00E1723F">
        <w:rPr>
          <w:rFonts w:ascii="Arial Narrow" w:hAnsi="Arial Narrow" w:cs="Arial"/>
          <w:b/>
          <w:bCs/>
        </w:rPr>
        <w:t>0</w:t>
      </w:r>
      <w:r w:rsidR="00B53F90" w:rsidRPr="00E1723F">
        <w:rPr>
          <w:rFonts w:ascii="Arial Narrow" w:hAnsi="Arial Narrow" w:cs="Arial"/>
          <w:b/>
          <w:bCs/>
        </w:rPr>
        <w:t>9</w:t>
      </w:r>
      <w:r w:rsidR="005A33D2" w:rsidRPr="00E1723F">
        <w:rPr>
          <w:rFonts w:ascii="Arial Narrow" w:hAnsi="Arial Narrow" w:cs="Arial"/>
          <w:b/>
          <w:bCs/>
        </w:rPr>
        <w:t>.</w:t>
      </w:r>
      <w:r w:rsidR="00F21F05" w:rsidRPr="00E1723F">
        <w:rPr>
          <w:rFonts w:ascii="Arial Narrow" w:hAnsi="Arial Narrow" w:cs="Arial"/>
          <w:b/>
          <w:bCs/>
        </w:rPr>
        <w:t>0</w:t>
      </w:r>
      <w:r w:rsidR="00B53F90" w:rsidRPr="00E1723F">
        <w:rPr>
          <w:rFonts w:ascii="Arial Narrow" w:hAnsi="Arial Narrow" w:cs="Arial"/>
          <w:b/>
          <w:bCs/>
        </w:rPr>
        <w:t>7.</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proofErr w:type="spellStart"/>
            <w:r w:rsidRPr="00E1723F">
              <w:rPr>
                <w:rFonts w:ascii="Arial Narrow" w:hAnsi="Arial Narrow" w:cs="Arial"/>
                <w:b/>
              </w:rPr>
              <w:t>P</w:t>
            </w:r>
            <w:r w:rsidRPr="00E1723F">
              <w:rPr>
                <w:rFonts w:ascii="Arial Narrow" w:hAnsi="Arial Narrow" w:cs="Arial"/>
                <w:b/>
                <w:vertAlign w:val="subscript"/>
              </w:rPr>
              <w:t>c</w:t>
            </w:r>
            <w:proofErr w:type="spellEnd"/>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proofErr w:type="spellStart"/>
            <w:r w:rsidRPr="00E1723F">
              <w:rPr>
                <w:rFonts w:ascii="Arial Narrow" w:hAnsi="Arial Narrow" w:cs="Arial"/>
                <w:b/>
              </w:rPr>
              <w:t>C</w:t>
            </w:r>
            <w:r w:rsidRPr="00E1723F">
              <w:rPr>
                <w:rFonts w:ascii="Arial Narrow" w:hAnsi="Arial Narrow" w:cs="Arial"/>
                <w:b/>
                <w:vertAlign w:val="subscript"/>
              </w:rPr>
              <w:t>n</w:t>
            </w:r>
            <w:proofErr w:type="spellEnd"/>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xml:space="preserve">×   100  ×  </w:t>
            </w:r>
            <w:proofErr w:type="spellStart"/>
            <w:r w:rsidRPr="00E1723F">
              <w:rPr>
                <w:rFonts w:ascii="Arial Narrow" w:hAnsi="Arial Narrow" w:cs="Arial"/>
                <w:b/>
              </w:rPr>
              <w:t>W</w:t>
            </w:r>
            <w:r w:rsidRPr="00E1723F">
              <w:rPr>
                <w:rFonts w:ascii="Arial Narrow" w:hAnsi="Arial Narrow" w:cs="Arial"/>
                <w:b/>
                <w:vertAlign w:val="subscript"/>
              </w:rPr>
              <w:t>c</w:t>
            </w:r>
            <w:proofErr w:type="spellEnd"/>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proofErr w:type="spellStart"/>
            <w:r w:rsidRPr="00E1723F">
              <w:rPr>
                <w:rFonts w:ascii="Arial Narrow" w:hAnsi="Arial Narrow" w:cs="Arial"/>
                <w:b/>
              </w:rPr>
              <w:t>C</w:t>
            </w:r>
            <w:r w:rsidRPr="00E1723F">
              <w:rPr>
                <w:rFonts w:ascii="Arial Narrow" w:hAnsi="Arial Narrow" w:cs="Arial"/>
                <w:b/>
                <w:vertAlign w:val="subscript"/>
              </w:rPr>
              <w:t>ob</w:t>
            </w:r>
            <w:proofErr w:type="spellEnd"/>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proofErr w:type="spellStart"/>
      <w:r w:rsidRPr="00E1723F">
        <w:rPr>
          <w:rFonts w:ascii="Arial Narrow" w:hAnsi="Arial Narrow" w:cs="Arial"/>
          <w:b/>
        </w:rPr>
        <w:t>P</w:t>
      </w:r>
      <w:r w:rsidRPr="00E1723F">
        <w:rPr>
          <w:rFonts w:ascii="Arial Narrow" w:hAnsi="Arial Narrow" w:cs="Arial"/>
          <w:b/>
          <w:vertAlign w:val="subscript"/>
        </w:rPr>
        <w:t>c</w:t>
      </w:r>
      <w:proofErr w:type="spellEnd"/>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proofErr w:type="spellStart"/>
      <w:r w:rsidRPr="00E1723F">
        <w:rPr>
          <w:rFonts w:ascii="Arial Narrow" w:hAnsi="Arial Narrow" w:cs="Arial"/>
          <w:b/>
        </w:rPr>
        <w:t>C</w:t>
      </w:r>
      <w:r w:rsidRPr="00E1723F">
        <w:rPr>
          <w:rFonts w:ascii="Arial Narrow" w:hAnsi="Arial Narrow" w:cs="Arial"/>
          <w:b/>
          <w:vertAlign w:val="subscript"/>
        </w:rPr>
        <w:t>n</w:t>
      </w:r>
      <w:proofErr w:type="spellEnd"/>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proofErr w:type="spellStart"/>
      <w:r w:rsidRPr="00E1723F">
        <w:rPr>
          <w:rFonts w:ascii="Arial Narrow" w:hAnsi="Arial Narrow" w:cs="Arial"/>
          <w:b/>
        </w:rPr>
        <w:t>C</w:t>
      </w:r>
      <w:r w:rsidRPr="00E1723F">
        <w:rPr>
          <w:rFonts w:ascii="Arial Narrow" w:hAnsi="Arial Narrow" w:cs="Arial"/>
          <w:b/>
          <w:vertAlign w:val="subscript"/>
        </w:rPr>
        <w:t>ob</w:t>
      </w:r>
      <w:proofErr w:type="spellEnd"/>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proofErr w:type="spellStart"/>
      <w:r w:rsidRPr="00E1723F">
        <w:rPr>
          <w:rFonts w:ascii="Arial Narrow" w:hAnsi="Arial Narrow" w:cs="Arial"/>
          <w:b/>
        </w:rPr>
        <w:t>W</w:t>
      </w:r>
      <w:r w:rsidRPr="00E1723F">
        <w:rPr>
          <w:rFonts w:ascii="Arial Narrow" w:hAnsi="Arial Narrow" w:cs="Arial"/>
          <w:b/>
          <w:vertAlign w:val="subscript"/>
        </w:rPr>
        <w:t>c</w:t>
      </w:r>
      <w:proofErr w:type="spellEnd"/>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lastRenderedPageBreak/>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proofErr w:type="spellStart"/>
      <w:r w:rsidRPr="00E1723F">
        <w:rPr>
          <w:rFonts w:ascii="Arial Narrow" w:hAnsi="Arial Narrow" w:cs="Arial"/>
          <w:b/>
          <w:bCs/>
        </w:rPr>
        <w:t>P</w:t>
      </w:r>
      <w:r w:rsidR="00017B91" w:rsidRPr="00E1723F">
        <w:rPr>
          <w:rFonts w:ascii="Arial Narrow" w:hAnsi="Arial Narrow" w:cs="Arial"/>
          <w:b/>
          <w:bCs/>
          <w:vertAlign w:val="subscript"/>
        </w:rPr>
        <w:t>g</w:t>
      </w:r>
      <w:proofErr w:type="spellEnd"/>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w:t>
      </w:r>
      <w:proofErr w:type="spellStart"/>
      <w:r w:rsidRPr="00E1723F">
        <w:rPr>
          <w:rFonts w:ascii="Arial Narrow" w:hAnsi="Arial Narrow" w:cs="Arial"/>
          <w:b/>
        </w:rPr>
        <w:t>P</w:t>
      </w:r>
      <w:r w:rsidR="00017B91" w:rsidRPr="00E1723F">
        <w:rPr>
          <w:rFonts w:ascii="Arial Narrow" w:hAnsi="Arial Narrow" w:cs="Arial"/>
          <w:b/>
          <w:vertAlign w:val="subscript"/>
        </w:rPr>
        <w:t>g</w:t>
      </w:r>
      <w:proofErr w:type="spellEnd"/>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2" w:name="_Hlk62132603"/>
      <w:r w:rsidRPr="00E1723F">
        <w:rPr>
          <w:rFonts w:ascii="Arial Narrow" w:hAnsi="Arial Narrow" w:cs="Arial"/>
        </w:rPr>
        <w:t xml:space="preserve">Projektowane postanowienia umowy </w:t>
      </w:r>
      <w:bookmarkEnd w:id="2"/>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3"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z płatnościami, przy czym termin, na jaki została zawarta umowa, nie może być krótszy niż termin realizacji zamówienia.  </w:t>
      </w:r>
      <w:bookmarkEnd w:id="3"/>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lastRenderedPageBreak/>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4" w:name="_Hlk8815720"/>
      <w:r w:rsidRPr="00E1723F">
        <w:rPr>
          <w:rFonts w:ascii="Arial Narrow" w:hAnsi="Arial Narrow" w:cs="Arial"/>
        </w:rPr>
        <w:br w:type="page"/>
      </w:r>
      <w:bookmarkEnd w:id="4"/>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06017464" w14:textId="77777777" w:rsidR="00391024" w:rsidRPr="00E1723F" w:rsidRDefault="00391024" w:rsidP="00391024">
      <w:pPr>
        <w:tabs>
          <w:tab w:val="decimal" w:leader="dot" w:pos="4680"/>
        </w:tabs>
        <w:spacing w:before="120" w:after="120"/>
        <w:jc w:val="both"/>
        <w:rPr>
          <w:rFonts w:ascii="Arial Narrow" w:hAnsi="Arial Narrow" w:cs="Arial"/>
          <w:lang w:val="de-DE"/>
        </w:rPr>
      </w:pPr>
      <w:proofErr w:type="spellStart"/>
      <w:r w:rsidRPr="00E1723F">
        <w:rPr>
          <w:rFonts w:ascii="Arial Narrow" w:hAnsi="Arial Narrow" w:cs="Arial"/>
          <w:lang w:val="de-DE"/>
        </w:rPr>
        <w:t>adres</w:t>
      </w:r>
      <w:proofErr w:type="spellEnd"/>
      <w:r w:rsidRPr="00E1723F">
        <w:rPr>
          <w:rFonts w:ascii="Arial Narrow" w:hAnsi="Arial Narrow" w:cs="Arial"/>
          <w:lang w:val="de-DE"/>
        </w:rPr>
        <w:t xml:space="preserve"> </w:t>
      </w:r>
      <w:proofErr w:type="spellStart"/>
      <w:r w:rsidRPr="00E1723F">
        <w:rPr>
          <w:rFonts w:ascii="Arial Narrow" w:hAnsi="Arial Narrow" w:cs="Arial"/>
          <w:lang w:val="de-DE"/>
        </w:rPr>
        <w:t>e-mail</w:t>
      </w:r>
      <w:proofErr w:type="spellEnd"/>
      <w:r w:rsidRPr="00E1723F">
        <w:rPr>
          <w:rFonts w:ascii="Arial Narrow" w:hAnsi="Arial Narrow" w:cs="Arial"/>
          <w:lang w:val="de-DE"/>
        </w:rPr>
        <w:t xml:space="preserve">: ………………………….….                     </w:t>
      </w:r>
    </w:p>
    <w:p w14:paraId="00DAD408" w14:textId="77777777" w:rsidR="00391024" w:rsidRPr="00E1723F" w:rsidRDefault="00391024" w:rsidP="00391024">
      <w:pPr>
        <w:spacing w:before="120"/>
        <w:jc w:val="right"/>
        <w:rPr>
          <w:rFonts w:ascii="Arial Narrow" w:hAnsi="Arial Narrow" w:cs="Arial"/>
          <w:b/>
          <w:bCs/>
          <w:lang w:val="de-DE"/>
        </w:rPr>
      </w:pPr>
      <w:r w:rsidRPr="00E1723F">
        <w:rPr>
          <w:rFonts w:ascii="Arial Narrow" w:hAnsi="Arial Narrow" w:cs="Arial"/>
          <w:b/>
          <w:bCs/>
          <w:lang w:val="de-DE"/>
        </w:rPr>
        <w:t xml:space="preserve">                                                                                                                                                </w:t>
      </w: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3BC10985" w14:textId="1C0490D3" w:rsidR="00F132EF" w:rsidRPr="00E1723F" w:rsidRDefault="00F132EF" w:rsidP="00510935">
      <w:pPr>
        <w:jc w:val="both"/>
        <w:rPr>
          <w:rFonts w:ascii="Arial Narrow" w:hAnsi="Arial Narrow"/>
        </w:rPr>
      </w:pPr>
      <w:r w:rsidRPr="00E1723F">
        <w:rPr>
          <w:rFonts w:ascii="Arial Narrow" w:hAnsi="Arial Narrow" w:cs="Calibri"/>
          <w:b/>
          <w:bCs/>
          <w:color w:val="000000"/>
        </w:rPr>
        <w:t xml:space="preserve">Dostawa pomocy dydaktycznych do pracowni </w:t>
      </w:r>
      <w:r w:rsidR="00B53F90" w:rsidRPr="00E1723F">
        <w:rPr>
          <w:rFonts w:ascii="Arial Narrow" w:hAnsi="Arial Narrow" w:cs="Calibri"/>
          <w:b/>
          <w:bCs/>
          <w:color w:val="000000"/>
        </w:rPr>
        <w:t>logistycznej</w:t>
      </w:r>
      <w:r w:rsidRPr="00E1723F">
        <w:rPr>
          <w:rFonts w:ascii="Arial Narrow" w:hAnsi="Arial Narrow" w:cs="Calibri"/>
          <w:b/>
          <w:bCs/>
          <w:color w:val="000000"/>
        </w:rPr>
        <w:t xml:space="preserve"> w Zespole Szkół im. Wincentego Witosa w Suchej Beskidzkiej</w:t>
      </w:r>
    </w:p>
    <w:p w14:paraId="540E4D52" w14:textId="77777777" w:rsidR="00391024" w:rsidRPr="00E1723F" w:rsidRDefault="00391024" w:rsidP="0065131D">
      <w:pPr>
        <w:spacing w:before="120" w:after="120"/>
        <w:rPr>
          <w:rFonts w:ascii="Arial Narrow" w:hAnsi="Arial Narrow" w:cs="Arial"/>
        </w:rPr>
      </w:pPr>
      <w:r w:rsidRPr="00E1723F">
        <w:rPr>
          <w:rFonts w:ascii="Arial Narrow" w:hAnsi="Arial Narrow" w:cs="Arial"/>
        </w:rPr>
        <w:t>Zamówienie wykonamy za cenę:</w:t>
      </w:r>
    </w:p>
    <w:tbl>
      <w:tblPr>
        <w:tblStyle w:val="Tabela-Siatka"/>
        <w:tblW w:w="5000" w:type="pct"/>
        <w:tblLook w:val="04A0" w:firstRow="1" w:lastRow="0" w:firstColumn="1" w:lastColumn="0" w:noHBand="0" w:noVBand="1"/>
      </w:tblPr>
      <w:tblGrid>
        <w:gridCol w:w="938"/>
        <w:gridCol w:w="2150"/>
        <w:gridCol w:w="2279"/>
        <w:gridCol w:w="2151"/>
        <w:gridCol w:w="1770"/>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77777777" w:rsidR="00734F20" w:rsidRPr="00E1723F" w:rsidRDefault="00734F20" w:rsidP="00391024">
      <w:pPr>
        <w:jc w:val="both"/>
        <w:rPr>
          <w:rFonts w:ascii="Arial Narrow" w:hAnsi="Arial Narrow" w:cs="Arial"/>
          <w:i/>
        </w:rPr>
      </w:pPr>
    </w:p>
    <w:p w14:paraId="635BE35D" w14:textId="103E5C35" w:rsidR="00391024" w:rsidRPr="00E1723F" w:rsidRDefault="00391024" w:rsidP="00391024">
      <w:pPr>
        <w:jc w:val="both"/>
        <w:rPr>
          <w:rFonts w:ascii="Arial Narrow" w:hAnsi="Arial Narrow" w:cs="Arial"/>
          <w:i/>
        </w:rPr>
      </w:pPr>
      <w:r w:rsidRPr="00E1723F">
        <w:rPr>
          <w:rFonts w:ascii="Arial Narrow" w:hAnsi="Arial Narrow" w:cs="Arial"/>
          <w:i/>
        </w:rPr>
        <w:t xml:space="preserve">*Należy wypełnić i załączyć zamieszczony w SWZ </w:t>
      </w:r>
      <w:r w:rsidR="00510935" w:rsidRPr="00E1723F">
        <w:rPr>
          <w:rFonts w:ascii="Arial Narrow" w:hAnsi="Arial Narrow" w:cs="Arial"/>
          <w:i/>
        </w:rPr>
        <w:t xml:space="preserve">szczegółowy </w:t>
      </w:r>
      <w:r w:rsidRPr="00E1723F">
        <w:rPr>
          <w:rFonts w:ascii="Arial Narrow" w:hAnsi="Arial Narrow" w:cs="Arial"/>
          <w:i/>
        </w:rPr>
        <w:t xml:space="preserve">opis </w:t>
      </w:r>
      <w:r w:rsidR="00510935" w:rsidRPr="00E1723F">
        <w:rPr>
          <w:rFonts w:ascii="Arial Narrow" w:hAnsi="Arial Narrow" w:cs="Arial"/>
          <w:i/>
        </w:rPr>
        <w:t xml:space="preserve">przedmiotu zamówienia </w:t>
      </w:r>
      <w:r w:rsidR="003F0176" w:rsidRPr="00E1723F">
        <w:rPr>
          <w:rFonts w:ascii="Arial Narrow" w:hAnsi="Arial Narrow" w:cs="Arial"/>
          <w:b/>
          <w:bCs/>
          <w:i/>
          <w:u w:val="single"/>
        </w:rPr>
        <w:t xml:space="preserve">wskazując dla każdej z pozycji cenę jednostkową brutto za 1 sztukę oraz wartość brutto za poszczególny element dostawy zgodnie ze wskazanymi ilościami. </w:t>
      </w:r>
      <w:r w:rsidRPr="00E1723F">
        <w:rPr>
          <w:rFonts w:ascii="Arial Narrow" w:hAnsi="Arial Narrow" w:cs="Arial"/>
          <w:b/>
          <w:bCs/>
          <w:i/>
          <w:u w:val="single"/>
        </w:rPr>
        <w:t xml:space="preserve">Niedołączenie do oferty wypełnionego zgodnie z instrukcją </w:t>
      </w:r>
      <w:r w:rsidR="00B53F90" w:rsidRPr="00E1723F">
        <w:rPr>
          <w:rFonts w:ascii="Arial Narrow" w:hAnsi="Arial Narrow" w:cs="Arial"/>
          <w:b/>
          <w:bCs/>
          <w:i/>
          <w:u w:val="single"/>
        </w:rPr>
        <w:t xml:space="preserve">formularza cenowego </w:t>
      </w:r>
      <w:r w:rsidRPr="00E1723F">
        <w:rPr>
          <w:rFonts w:ascii="Arial Narrow" w:hAnsi="Arial Narrow" w:cs="Arial"/>
          <w:b/>
          <w:bCs/>
          <w:i/>
          <w:u w:val="single"/>
        </w:rPr>
        <w:t>spowoduje odrzucenie oferty.</w:t>
      </w:r>
      <w:r w:rsidR="003F0176" w:rsidRPr="00E1723F">
        <w:rPr>
          <w:rFonts w:ascii="Arial Narrow" w:hAnsi="Arial Narrow" w:cs="Arial"/>
          <w:b/>
          <w:bCs/>
          <w:i/>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lastRenderedPageBreak/>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7"/>
          <w:footerReference w:type="default" r:id="rId18"/>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w:t>
      </w:r>
      <w:proofErr w:type="spellStart"/>
      <w:r w:rsidRPr="0065131D">
        <w:rPr>
          <w:rFonts w:ascii="Arial Narrow" w:hAnsi="Arial Narrow" w:cs="Arial"/>
          <w:i/>
          <w:vertAlign w:val="superscript"/>
        </w:rPr>
        <w:t>CEiDG</w:t>
      </w:r>
      <w:proofErr w:type="spellEnd"/>
      <w:r w:rsidRPr="0065131D">
        <w:rPr>
          <w:rFonts w:ascii="Arial Narrow" w:hAnsi="Arial Narrow" w:cs="Arial"/>
          <w:i/>
          <w:vertAlign w:val="superscript"/>
        </w:rPr>
        <w:t>)</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74535A25"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1F8722D7"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12D16F13" w14:textId="050A7CB4" w:rsidR="007007F1" w:rsidRPr="00E1723F" w:rsidRDefault="00F9678B" w:rsidP="007007F1">
      <w:pPr>
        <w:jc w:val="both"/>
        <w:rPr>
          <w:rFonts w:ascii="Arial Narrow" w:hAnsi="Arial Narrow" w:cs="Arial"/>
          <w:b/>
          <w:color w:val="FF0000"/>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B53F90" w:rsidRPr="00E1723F">
        <w:rPr>
          <w:rFonts w:ascii="Arial Narrow" w:hAnsi="Arial Narrow" w:cs="Arial"/>
          <w:iCs/>
        </w:rPr>
        <w:t>2</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na </w:t>
      </w:r>
      <w:r w:rsidR="007007F1" w:rsidRPr="00E1723F">
        <w:rPr>
          <w:rFonts w:ascii="Arial Narrow" w:hAnsi="Arial Narrow" w:cs="Arial"/>
          <w:b/>
          <w:bCs/>
        </w:rPr>
        <w:t xml:space="preserve">Dostawa pomocy </w:t>
      </w:r>
      <w:r w:rsidR="00510935" w:rsidRPr="00E1723F">
        <w:rPr>
          <w:rFonts w:ascii="Arial Narrow" w:hAnsi="Arial Narrow" w:cs="Arial"/>
          <w:b/>
          <w:bCs/>
        </w:rPr>
        <w:t xml:space="preserve">dydaktycznych </w:t>
      </w:r>
      <w:r w:rsidR="00B53F90" w:rsidRPr="00E1723F">
        <w:rPr>
          <w:rFonts w:ascii="Arial Narrow" w:hAnsi="Arial Narrow" w:cs="Arial"/>
          <w:b/>
          <w:bCs/>
        </w:rPr>
        <w:t xml:space="preserve">do pracowni logistycznej </w:t>
      </w:r>
      <w:r w:rsidR="007007F1" w:rsidRPr="00E1723F">
        <w:rPr>
          <w:rFonts w:ascii="Arial Narrow" w:hAnsi="Arial Narrow" w:cs="Arial"/>
          <w:b/>
          <w:bCs/>
        </w:rPr>
        <w:t xml:space="preserve">do Zespołu Szkół im. </w:t>
      </w:r>
      <w:r w:rsidR="00510935" w:rsidRPr="00E1723F">
        <w:rPr>
          <w:rFonts w:ascii="Arial Narrow" w:hAnsi="Arial Narrow" w:cs="Arial"/>
          <w:b/>
          <w:bCs/>
        </w:rPr>
        <w:t xml:space="preserve">Wincentego Witosa </w:t>
      </w:r>
      <w:r w:rsidR="0065131D">
        <w:rPr>
          <w:rFonts w:ascii="Arial Narrow" w:hAnsi="Arial Narrow" w:cs="Arial"/>
          <w:b/>
          <w:bCs/>
        </w:rPr>
        <w:br/>
      </w:r>
      <w:r w:rsidR="007007F1" w:rsidRPr="00E1723F">
        <w:rPr>
          <w:rFonts w:ascii="Arial Narrow" w:hAnsi="Arial Narrow" w:cs="Arial"/>
          <w:b/>
          <w:bCs/>
        </w:rPr>
        <w:t>w Suchej Beskidzkiej</w:t>
      </w: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4C70BD1F"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B53F90" w:rsidRPr="00E1723F">
        <w:rPr>
          <w:rFonts w:ascii="Arial Narrow" w:eastAsia="Calibri" w:hAnsi="Arial Narrow" w:cs="Arial"/>
        </w:rPr>
        <w:t>2</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F42334" w:rsidRPr="00E1723F">
        <w:rPr>
          <w:rFonts w:ascii="Arial Narrow" w:hAnsi="Arial Narrow" w:cs="Calibri"/>
          <w:b/>
          <w:bCs/>
          <w:color w:val="000000"/>
        </w:rPr>
        <w:t>pomoce</w:t>
      </w:r>
      <w:r w:rsidR="00F132EF" w:rsidRPr="00E1723F">
        <w:rPr>
          <w:rFonts w:ascii="Arial Narrow" w:hAnsi="Arial Narrow" w:cs="Calibri"/>
          <w:b/>
          <w:bCs/>
          <w:color w:val="000000"/>
        </w:rPr>
        <w:t xml:space="preserve"> dydaktyczn</w:t>
      </w:r>
      <w:r w:rsidR="00F42334" w:rsidRPr="00E1723F">
        <w:rPr>
          <w:rFonts w:ascii="Arial Narrow" w:hAnsi="Arial Narrow" w:cs="Calibri"/>
          <w:b/>
          <w:bCs/>
          <w:color w:val="000000"/>
        </w:rPr>
        <w:t>e</w:t>
      </w:r>
      <w:r w:rsidR="00F132EF" w:rsidRPr="00E1723F">
        <w:rPr>
          <w:rFonts w:ascii="Arial Narrow" w:hAnsi="Arial Narrow" w:cs="Calibri"/>
          <w:b/>
          <w:bCs/>
          <w:color w:val="000000"/>
        </w:rPr>
        <w:t xml:space="preserve"> do pracowni </w:t>
      </w:r>
      <w:r w:rsidR="00B53F90" w:rsidRPr="00E1723F">
        <w:rPr>
          <w:rFonts w:ascii="Arial Narrow" w:hAnsi="Arial Narrow" w:cs="Calibri"/>
          <w:b/>
          <w:bCs/>
          <w:color w:val="000000"/>
        </w:rPr>
        <w:t>logistycznej</w:t>
      </w:r>
      <w:r w:rsidR="00F132EF" w:rsidRPr="00E1723F">
        <w:rPr>
          <w:rFonts w:ascii="Arial Narrow" w:hAnsi="Arial Narrow" w:cs="Calibri"/>
          <w:b/>
          <w:bCs/>
          <w:color w:val="000000"/>
        </w:rPr>
        <w:t xml:space="preserve"> w Zespole Szkół im. Wincentego Witosa w Suchej Beskidzkie</w:t>
      </w:r>
      <w:r w:rsidR="00F42334" w:rsidRPr="00E1723F">
        <w:rPr>
          <w:rFonts w:ascii="Arial Narrow" w:hAnsi="Arial Narrow" w:cs="Arial"/>
          <w:b/>
          <w:bCs/>
        </w:rPr>
        <w:t>j</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403DB31F"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B53F90" w:rsidRPr="00E1723F">
        <w:rPr>
          <w:rFonts w:ascii="Arial Narrow" w:eastAsia="Calibri" w:hAnsi="Arial Narrow" w:cs="Arial"/>
          <w:b/>
        </w:rPr>
        <w:t>21</w:t>
      </w:r>
      <w:r w:rsidRPr="00E1723F">
        <w:rPr>
          <w:rFonts w:ascii="Arial Narrow" w:eastAsia="Calibri" w:hAnsi="Arial Narrow" w:cs="Arial"/>
          <w:b/>
        </w:rPr>
        <w:t xml:space="preserve"> dni od dnia zawarcia umowy</w:t>
      </w:r>
      <w:r w:rsidR="00510935" w:rsidRPr="00E1723F">
        <w:rPr>
          <w:rFonts w:ascii="Arial Narrow" w:eastAsia="Calibri" w:hAnsi="Arial Narrow" w:cs="Arial"/>
          <w:b/>
        </w:rPr>
        <w:t xml:space="preserve"> tj. do dnia……………..</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9"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lastRenderedPageBreak/>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Rachunek/faktura za wykonanie przedmiotu umowy powinien być wystawiony odpowiednio: Nabywca faktu-</w:t>
      </w:r>
      <w:proofErr w:type="spellStart"/>
      <w:r w:rsidRPr="00E1723F">
        <w:rPr>
          <w:rFonts w:ascii="Arial Narrow" w:hAnsi="Arial Narrow" w:cs="Arial"/>
        </w:rPr>
        <w:t>ry</w:t>
      </w:r>
      <w:proofErr w:type="spellEnd"/>
      <w:r w:rsidRPr="00E1723F">
        <w:rPr>
          <w:rFonts w:ascii="Arial Narrow" w:hAnsi="Arial Narrow" w:cs="Arial"/>
        </w:rPr>
        <w:t xml:space="preserve">/rachunku: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lastRenderedPageBreak/>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77777777"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W sprawach nieuregulowanych niniejszą umową mają zastosowanie przepisy ustawy z dnia 11 września 2019 r. </w:t>
      </w:r>
      <w:bookmarkStart w:id="5" w:name="_GoBack"/>
      <w:r w:rsidRPr="00E1723F">
        <w:rPr>
          <w:rFonts w:ascii="Arial Narrow" w:eastAsia="Calibri" w:hAnsi="Arial Narrow" w:cs="Arial"/>
        </w:rPr>
        <w:t>Prawo zamówie</w:t>
      </w:r>
      <w:bookmarkEnd w:id="5"/>
      <w:r w:rsidRPr="00E1723F">
        <w:rPr>
          <w:rFonts w:ascii="Arial Narrow" w:eastAsia="Calibri" w:hAnsi="Arial Narrow" w:cs="Arial"/>
        </w:rPr>
        <w:t>ń publicznych (Dz. U. z 2021 r. poz. 1129, ze zm.) oraz Kodeksu Cywilnego (</w:t>
      </w:r>
      <w:proofErr w:type="spellStart"/>
      <w:r w:rsidRPr="00E1723F">
        <w:rPr>
          <w:rFonts w:ascii="Arial Narrow" w:eastAsia="Calibri" w:hAnsi="Arial Narrow" w:cs="Arial"/>
        </w:rPr>
        <w:t>t.j</w:t>
      </w:r>
      <w:proofErr w:type="spellEnd"/>
      <w:r w:rsidRPr="00E1723F">
        <w:rPr>
          <w:rFonts w:ascii="Arial Narrow" w:eastAsia="Calibri" w:hAnsi="Arial Narrow" w:cs="Arial"/>
        </w:rPr>
        <w:t>.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58886A66" w14:textId="77777777"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PARAMETRY SYSTEMU RÓWNOWAŻNEGO 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większości powszechnie używanych urządzeń peryferyjnych (drukarek, urządzeń sieciowych, standardów USB, </w:t>
      </w:r>
      <w:proofErr w:type="spellStart"/>
      <w:r w:rsidRPr="00E1723F">
        <w:rPr>
          <w:rFonts w:ascii="Arial Narrow" w:hAnsi="Arial Narrow"/>
        </w:rPr>
        <w:t>Plug&amp;Play</w:t>
      </w:r>
      <w:proofErr w:type="spellEnd"/>
      <w:r w:rsidRPr="00E1723F">
        <w:rPr>
          <w:rFonts w:ascii="Arial Narrow" w:hAnsi="Arial Narrow"/>
        </w:rPr>
        <w:t>,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Zintegrowany z systemem operacyjnym moduł synchronizacji komputera z urządzeniami </w:t>
      </w:r>
      <w:r w:rsidRPr="00E1723F">
        <w:rPr>
          <w:rFonts w:ascii="Arial Narrow" w:hAnsi="Arial Narrow"/>
        </w:rPr>
        <w:lastRenderedPageBreak/>
        <w:t>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proofErr w:type="spellStart"/>
      <w:r w:rsidRPr="00E1723F">
        <w:rPr>
          <w:rFonts w:ascii="Arial Narrow" w:hAnsi="Arial Narrow"/>
          <w:lang w:val="en-US"/>
        </w:rPr>
        <w:t>Obsługa</w:t>
      </w:r>
      <w:proofErr w:type="spellEnd"/>
      <w:r w:rsidRPr="00E1723F">
        <w:rPr>
          <w:rFonts w:ascii="Arial Narrow" w:hAnsi="Arial Narrow"/>
          <w:lang w:val="en-US"/>
        </w:rPr>
        <w:t xml:space="preserve"> </w:t>
      </w:r>
      <w:proofErr w:type="spellStart"/>
      <w:r w:rsidRPr="00E1723F">
        <w:rPr>
          <w:rFonts w:ascii="Arial Narrow" w:hAnsi="Arial Narrow"/>
          <w:lang w:val="en-US"/>
        </w:rPr>
        <w:t>standardu</w:t>
      </w:r>
      <w:proofErr w:type="spellEnd"/>
      <w:r w:rsidRPr="00E1723F">
        <w:rPr>
          <w:rFonts w:ascii="Arial Narrow" w:hAnsi="Arial Narrow"/>
          <w:lang w:val="en-US"/>
        </w:rPr>
        <w:t xml:space="preserve">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w:t>
      </w:r>
      <w:proofErr w:type="spellStart"/>
      <w:r w:rsidRPr="00E1723F">
        <w:rPr>
          <w:rFonts w:ascii="Arial Narrow" w:hAnsi="Arial Narrow"/>
        </w:rPr>
        <w:t>smartcard</w:t>
      </w:r>
      <w:proofErr w:type="spellEnd"/>
      <w:r w:rsidRPr="00E1723F">
        <w:rPr>
          <w:rFonts w:ascii="Arial Narrow" w:hAnsi="Arial Narrow"/>
        </w:rPr>
        <w:t>),-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wbudowanej zapory ogniowej dla Internet </w:t>
      </w:r>
      <w:proofErr w:type="spellStart"/>
      <w:r w:rsidRPr="00E1723F">
        <w:rPr>
          <w:rFonts w:ascii="Arial Narrow" w:hAnsi="Arial Narrow"/>
        </w:rPr>
        <w:t>Key</w:t>
      </w:r>
      <w:proofErr w:type="spellEnd"/>
      <w:r w:rsidRPr="00E1723F">
        <w:rPr>
          <w:rFonts w:ascii="Arial Narrow" w:hAnsi="Arial Narrow"/>
        </w:rPr>
        <w:t xml:space="preserve"> Exchange v. 2 (IKEv2) dla warstwy transportowej </w:t>
      </w:r>
      <w:proofErr w:type="spellStart"/>
      <w:r w:rsidRPr="00E1723F">
        <w:rPr>
          <w:rFonts w:ascii="Arial Narrow" w:hAnsi="Arial Narrow"/>
        </w:rPr>
        <w:t>IPsec</w:t>
      </w:r>
      <w:proofErr w:type="spellEnd"/>
      <w:r w:rsidRPr="00E1723F">
        <w:rPr>
          <w:rFonts w:ascii="Arial Narrow" w:hAnsi="Arial Narrow"/>
        </w:rPr>
        <w:t>.</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JScript i </w:t>
      </w:r>
      <w:proofErr w:type="spellStart"/>
      <w:r w:rsidRPr="00E1723F">
        <w:rPr>
          <w:rFonts w:ascii="Arial Narrow" w:hAnsi="Arial Narrow"/>
        </w:rPr>
        <w:t>VBScript</w:t>
      </w:r>
      <w:proofErr w:type="spellEnd"/>
      <w:r w:rsidRPr="00E1723F">
        <w:rPr>
          <w:rFonts w:ascii="Arial Narrow" w:hAnsi="Arial Narrow"/>
        </w:rPr>
        <w:t xml:space="preserve">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Transakcyjny system plików pozwalający na stosowanie przydziałów (ang. </w:t>
      </w:r>
      <w:proofErr w:type="spellStart"/>
      <w:r w:rsidRPr="00E1723F">
        <w:rPr>
          <w:rFonts w:ascii="Arial Narrow" w:hAnsi="Arial Narrow"/>
        </w:rPr>
        <w:t>quota</w:t>
      </w:r>
      <w:proofErr w:type="spellEnd"/>
      <w:r w:rsidRPr="00E1723F">
        <w:rPr>
          <w:rFonts w:ascii="Arial Narrow" w:hAnsi="Arial Narrow"/>
        </w:rPr>
        <w:t>)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Wbudowany mechanizm wirtualizacji typu </w:t>
      </w:r>
      <w:proofErr w:type="spellStart"/>
      <w:r w:rsidRPr="00E1723F">
        <w:rPr>
          <w:rFonts w:ascii="Arial Narrow" w:hAnsi="Arial Narrow"/>
        </w:rPr>
        <w:t>hypervisor</w:t>
      </w:r>
      <w:proofErr w:type="spellEnd"/>
      <w:r w:rsidRPr="00E1723F">
        <w:rPr>
          <w:rFonts w:ascii="Arial Narrow" w:hAnsi="Arial Narrow"/>
        </w:rPr>
        <w:t>,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Wbudowane w system narzędzie do szyfrowania partycji systemowych komputera, z możliwością przechowywania certyfikatów w </w:t>
      </w:r>
      <w:proofErr w:type="spellStart"/>
      <w:r w:rsidRPr="00E1723F">
        <w:rPr>
          <w:rFonts w:ascii="Arial Narrow" w:hAnsi="Arial Narrow"/>
        </w:rPr>
        <w:t>mikrochipie</w:t>
      </w:r>
      <w:proofErr w:type="spellEnd"/>
      <w:r w:rsidRPr="00E1723F">
        <w:rPr>
          <w:rFonts w:ascii="Arial Narrow" w:hAnsi="Arial Narrow"/>
        </w:rPr>
        <w:t xml:space="preserve"> TPM (</w:t>
      </w:r>
      <w:proofErr w:type="spellStart"/>
      <w:r w:rsidRPr="00E1723F">
        <w:rPr>
          <w:rFonts w:ascii="Arial Narrow" w:hAnsi="Arial Narrow"/>
        </w:rPr>
        <w:t>Trusted</w:t>
      </w:r>
      <w:proofErr w:type="spellEnd"/>
      <w:r w:rsidRPr="00E1723F">
        <w:rPr>
          <w:rFonts w:ascii="Arial Narrow" w:hAnsi="Arial Narrow"/>
        </w:rPr>
        <w:t xml:space="preserve">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 xml:space="preserve">Możliwość instalowania dodatkowych języków interfejsu systemu operacyjnego oraz możliwość zmiany języka bez konieczności </w:t>
      </w:r>
      <w:proofErr w:type="spellStart"/>
      <w:r w:rsidRPr="00E1723F">
        <w:rPr>
          <w:rFonts w:ascii="Arial Narrow" w:hAnsi="Arial Narrow"/>
        </w:rPr>
        <w:t>reinstalacji</w:t>
      </w:r>
      <w:proofErr w:type="spellEnd"/>
      <w:r w:rsidRPr="00E1723F">
        <w:rPr>
          <w:rFonts w:ascii="Arial Narrow" w:hAnsi="Arial Narrow"/>
        </w:rPr>
        <w:t xml:space="preserve">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89"/>
        <w:gridCol w:w="5515"/>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 xml:space="preserve">Wykonywanie korespondencji seryjnej bazując na danych adresowych pochodzących z arkusza kalkulacyjnego i z </w:t>
            </w:r>
            <w:r w:rsidRPr="00E1723F">
              <w:rPr>
                <w:rFonts w:ascii="Arial Narrow" w:hAnsi="Arial Narrow"/>
              </w:rPr>
              <w:lastRenderedPageBreak/>
              <w:t>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 xml:space="preserve">Tworzenie raportów z zewnętrznych źródeł danych (inne arkusze kalkulacyjne, bazy danych zgodne z ODBC, pliki tekstowe, pliki XML, </w:t>
            </w:r>
            <w:proofErr w:type="spellStart"/>
            <w:r w:rsidRPr="00E1723F">
              <w:rPr>
                <w:rFonts w:ascii="Arial Narrow" w:hAnsi="Arial Narrow"/>
              </w:rPr>
              <w:t>webservice</w:t>
            </w:r>
            <w:proofErr w:type="spellEnd"/>
            <w:r w:rsidRPr="00E1723F">
              <w:rPr>
                <w:rFonts w:ascii="Arial Narrow" w:hAnsi="Arial Narrow"/>
              </w:rPr>
              <w:t>)</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77777777"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 xml:space="preserve">Uwaga, podane parametry są minimalne. Dopuszcza się inne rozwiązania. Jeśli któreś z parametrów wskazują producenta bądź model – traktować to należy jako dane wyjściowe przy czym dopuszcza się inne rozwiązania, mieszczące się jednak w ustalonych przedziałach,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20"/>
      <w:footerReference w:type="default" r:id="rId21"/>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705D9" w14:textId="77777777" w:rsidR="00E1723F" w:rsidRDefault="00E1723F" w:rsidP="000F1DCF">
      <w:r>
        <w:separator/>
      </w:r>
    </w:p>
  </w:endnote>
  <w:endnote w:type="continuationSeparator" w:id="0">
    <w:p w14:paraId="7AC99499" w14:textId="77777777" w:rsidR="00E1723F" w:rsidRDefault="00E1723F" w:rsidP="000F1DCF">
      <w:r>
        <w:continuationSeparator/>
      </w:r>
    </w:p>
  </w:endnote>
  <w:endnote w:type="continuationNotice" w:id="1">
    <w:p w14:paraId="726DE3A8" w14:textId="77777777" w:rsidR="00E1723F" w:rsidRDefault="00E17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42BC" w14:textId="77777777" w:rsidR="0065131D" w:rsidRDefault="009824E9" w:rsidP="0065131D">
    <w:pPr>
      <w:pStyle w:val="Stopka"/>
      <w:tabs>
        <w:tab w:val="clear" w:pos="4536"/>
        <w:tab w:val="clear" w:pos="9072"/>
      </w:tabs>
      <w:ind w:right="141"/>
      <w:jc w:val="right"/>
      <w:rPr>
        <w:sz w:val="18"/>
        <w:szCs w:val="18"/>
      </w:rPr>
    </w:pPr>
    <w:r>
      <w:rPr>
        <w:sz w:val="18"/>
        <w:szCs w:val="18"/>
      </w:rPr>
      <w:pict w14:anchorId="2FCBB102">
        <v:rect id="_x0000_i1025" style="width:0;height:1.5pt"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9824E9" w:rsidP="0065131D">
    <w:pPr>
      <w:pStyle w:val="Stopka"/>
      <w:tabs>
        <w:tab w:val="clear" w:pos="4536"/>
        <w:tab w:val="clear" w:pos="9072"/>
      </w:tabs>
      <w:ind w:right="141"/>
      <w:jc w:val="center"/>
      <w:rPr>
        <w:sz w:val="18"/>
        <w:szCs w:val="18"/>
      </w:rPr>
    </w:pPr>
    <w:r>
      <w:rPr>
        <w:sz w:val="18"/>
        <w:szCs w:val="18"/>
      </w:rPr>
      <w:pict w14:anchorId="34526AA6">
        <v:rect id="_x0000_i1026" style="width:0;height:1.5pt"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8C5B4D" w:rsidRDefault="0065131D" w:rsidP="0065131D">
    <w:pPr>
      <w:pStyle w:val="Stopka"/>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szCs w:val="20"/>
        </w:rPr>
        <w:t>modernizacja@powiatsuski.pl</w:t>
      </w:r>
    </w:hyperlink>
  </w:p>
  <w:p w14:paraId="33940574" w14:textId="71D91087" w:rsidR="0065131D" w:rsidRPr="008C5B4D" w:rsidRDefault="0065131D" w:rsidP="0065131D">
    <w:pPr>
      <w:pStyle w:val="Stopka"/>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A2D0" w14:textId="77777777" w:rsidR="00DD7352" w:rsidRDefault="009824E9" w:rsidP="0065131D">
    <w:pPr>
      <w:pStyle w:val="Stopka"/>
      <w:tabs>
        <w:tab w:val="clear" w:pos="4536"/>
        <w:tab w:val="clear" w:pos="9072"/>
      </w:tabs>
      <w:ind w:right="141"/>
      <w:jc w:val="right"/>
      <w:rPr>
        <w:sz w:val="18"/>
        <w:szCs w:val="18"/>
      </w:rPr>
    </w:pPr>
    <w:r>
      <w:rPr>
        <w:sz w:val="18"/>
        <w:szCs w:val="18"/>
      </w:rPr>
      <w:pict w14:anchorId="1BEB5078">
        <v:rect id="_x0000_i1027" style="width:0;height:1.5pt"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9824E9" w:rsidP="0065131D">
    <w:pPr>
      <w:pStyle w:val="Stopka"/>
      <w:tabs>
        <w:tab w:val="clear" w:pos="4536"/>
        <w:tab w:val="clear" w:pos="9072"/>
      </w:tabs>
      <w:ind w:right="141"/>
      <w:jc w:val="center"/>
      <w:rPr>
        <w:sz w:val="18"/>
        <w:szCs w:val="18"/>
      </w:rPr>
    </w:pPr>
    <w:r>
      <w:rPr>
        <w:sz w:val="18"/>
        <w:szCs w:val="18"/>
      </w:rPr>
      <w:pict w14:anchorId="2D7AC19E">
        <v:rect id="_x0000_i1028" style="width:0;height:1.5pt"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8C5B4D" w:rsidRDefault="00DD7352" w:rsidP="0065131D">
    <w:pPr>
      <w:pStyle w:val="Stopka"/>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 xml:space="preserve">e-mail: </w:t>
    </w:r>
    <w:hyperlink r:id="rId2" w:history="1">
      <w:r w:rsidRPr="008C5B4D">
        <w:rPr>
          <w:rStyle w:val="Hipercze"/>
          <w:rFonts w:ascii="Arial Narrow" w:hAnsi="Arial Narrow" w:cs="Arial"/>
          <w:noProof/>
          <w:kern w:val="18"/>
          <w:sz w:val="16"/>
          <w:szCs w:val="20"/>
        </w:rPr>
        <w:t>modernizacja@powiatsuski.pl</w:t>
      </w:r>
    </w:hyperlink>
  </w:p>
  <w:p w14:paraId="590D5F44" w14:textId="6864F9E4" w:rsidR="00DD7352" w:rsidRPr="008C5B4D" w:rsidRDefault="00DD7352" w:rsidP="0065131D">
    <w:pPr>
      <w:pStyle w:val="Stopka"/>
      <w:ind w:left="3545" w:right="1132"/>
      <w:jc w:val="right"/>
      <w:rPr>
        <w:rFonts w:ascii="Arial Narrow" w:hAnsi="Arial Narrow" w:cs="Arial"/>
        <w:noProof/>
        <w:kern w:val="18"/>
        <w:sz w:val="16"/>
        <w:szCs w:val="14"/>
      </w:rPr>
    </w:pPr>
    <w:r w:rsidRPr="008C5B4D">
      <w:rPr>
        <w:rFonts w:ascii="Arial Narrow" w:hAnsi="Arial Narrow" w:cs="Arial"/>
        <w:noProof/>
        <w:kern w:val="18"/>
        <w:sz w:val="16"/>
        <w:szCs w:val="14"/>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DC049" w14:textId="77777777" w:rsidR="00E1723F" w:rsidRDefault="00E1723F" w:rsidP="000F1DCF">
      <w:r>
        <w:separator/>
      </w:r>
    </w:p>
  </w:footnote>
  <w:footnote w:type="continuationSeparator" w:id="0">
    <w:p w14:paraId="340E04B0" w14:textId="77777777" w:rsidR="00E1723F" w:rsidRDefault="00E1723F" w:rsidP="000F1DCF">
      <w:r>
        <w:continuationSeparator/>
      </w:r>
    </w:p>
  </w:footnote>
  <w:footnote w:type="continuationNotice" w:id="1">
    <w:p w14:paraId="7EB01EA4" w14:textId="77777777" w:rsidR="00E1723F" w:rsidRDefault="00E1723F"/>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86"/>
  </w:num>
  <w:num w:numId="3">
    <w:abstractNumId w:val="39"/>
  </w:num>
  <w:num w:numId="4">
    <w:abstractNumId w:val="23"/>
  </w:num>
  <w:num w:numId="5">
    <w:abstractNumId w:val="81"/>
  </w:num>
  <w:num w:numId="6">
    <w:abstractNumId w:val="70"/>
  </w:num>
  <w:num w:numId="7">
    <w:abstractNumId w:val="42"/>
  </w:num>
  <w:num w:numId="8">
    <w:abstractNumId w:val="56"/>
  </w:num>
  <w:num w:numId="9">
    <w:abstractNumId w:val="40"/>
  </w:num>
  <w:num w:numId="10">
    <w:abstractNumId w:val="28"/>
  </w:num>
  <w:num w:numId="11">
    <w:abstractNumId w:val="30"/>
  </w:num>
  <w:num w:numId="12">
    <w:abstractNumId w:val="51"/>
  </w:num>
  <w:num w:numId="13">
    <w:abstractNumId w:val="74"/>
  </w:num>
  <w:num w:numId="14">
    <w:abstractNumId w:val="34"/>
  </w:num>
  <w:num w:numId="15">
    <w:abstractNumId w:val="50"/>
  </w:num>
  <w:num w:numId="16">
    <w:abstractNumId w:val="45"/>
  </w:num>
  <w:num w:numId="17">
    <w:abstractNumId w:val="15"/>
  </w:num>
  <w:num w:numId="18">
    <w:abstractNumId w:val="91"/>
  </w:num>
  <w:num w:numId="19">
    <w:abstractNumId w:val="38"/>
  </w:num>
  <w:num w:numId="20">
    <w:abstractNumId w:val="47"/>
  </w:num>
  <w:num w:numId="21">
    <w:abstractNumId w:val="29"/>
  </w:num>
  <w:num w:numId="22">
    <w:abstractNumId w:val="76"/>
  </w:num>
  <w:num w:numId="23">
    <w:abstractNumId w:val="20"/>
  </w:num>
  <w:num w:numId="24">
    <w:abstractNumId w:val="13"/>
  </w:num>
  <w:num w:numId="25">
    <w:abstractNumId w:val="68"/>
  </w:num>
  <w:num w:numId="26">
    <w:abstractNumId w:val="4"/>
  </w:num>
  <w:num w:numId="27">
    <w:abstractNumId w:val="22"/>
  </w:num>
  <w:num w:numId="28">
    <w:abstractNumId w:val="69"/>
  </w:num>
  <w:num w:numId="29">
    <w:abstractNumId w:val="35"/>
  </w:num>
  <w:num w:numId="30">
    <w:abstractNumId w:val="64"/>
  </w:num>
  <w:num w:numId="31">
    <w:abstractNumId w:val="60"/>
  </w:num>
  <w:num w:numId="32">
    <w:abstractNumId w:val="54"/>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9"/>
  </w:num>
  <w:num w:numId="47">
    <w:abstractNumId w:val="89"/>
  </w:num>
  <w:num w:numId="48">
    <w:abstractNumId w:val="21"/>
  </w:num>
  <w:num w:numId="49">
    <w:abstractNumId w:val="55"/>
  </w:num>
  <w:num w:numId="50">
    <w:abstractNumId w:val="73"/>
  </w:num>
  <w:num w:numId="51">
    <w:abstractNumId w:val="18"/>
  </w:num>
  <w:num w:numId="52">
    <w:abstractNumId w:val="33"/>
  </w:num>
  <w:num w:numId="53">
    <w:abstractNumId w:val="52"/>
  </w:num>
  <w:num w:numId="54">
    <w:abstractNumId w:val="87"/>
  </w:num>
  <w:num w:numId="55">
    <w:abstractNumId w:val="27"/>
  </w:num>
  <w:num w:numId="56">
    <w:abstractNumId w:val="58"/>
  </w:num>
  <w:num w:numId="57">
    <w:abstractNumId w:val="63"/>
  </w:num>
  <w:num w:numId="58">
    <w:abstractNumId w:val="48"/>
  </w:num>
  <w:num w:numId="59">
    <w:abstractNumId w:val="17"/>
  </w:num>
  <w:num w:numId="60">
    <w:abstractNumId w:val="71"/>
  </w:num>
  <w:num w:numId="61">
    <w:abstractNumId w:val="83"/>
  </w:num>
  <w:num w:numId="62">
    <w:abstractNumId w:val="32"/>
  </w:num>
  <w:num w:numId="63">
    <w:abstractNumId w:val="31"/>
  </w:num>
  <w:num w:numId="64">
    <w:abstractNumId w:val="66"/>
  </w:num>
  <w:num w:numId="65">
    <w:abstractNumId w:val="62"/>
  </w:num>
  <w:num w:numId="66">
    <w:abstractNumId w:val="93"/>
  </w:num>
  <w:num w:numId="67">
    <w:abstractNumId w:val="77"/>
  </w:num>
  <w:num w:numId="68">
    <w:abstractNumId w:val="67"/>
  </w:num>
  <w:num w:numId="69">
    <w:abstractNumId w:val="75"/>
  </w:num>
  <w:num w:numId="70">
    <w:abstractNumId w:val="88"/>
  </w:num>
  <w:num w:numId="71">
    <w:abstractNumId w:val="79"/>
  </w:num>
  <w:num w:numId="72">
    <w:abstractNumId w:val="41"/>
  </w:num>
  <w:num w:numId="73">
    <w:abstractNumId w:val="53"/>
  </w:num>
  <w:num w:numId="74">
    <w:abstractNumId w:val="82"/>
  </w:num>
  <w:num w:numId="75">
    <w:abstractNumId w:val="37"/>
  </w:num>
  <w:num w:numId="76">
    <w:abstractNumId w:val="72"/>
  </w:num>
  <w:num w:numId="77">
    <w:abstractNumId w:val="61"/>
  </w:num>
  <w:num w:numId="78">
    <w:abstractNumId w:val="78"/>
  </w:num>
  <w:num w:numId="79">
    <w:abstractNumId w:val="84"/>
  </w:num>
  <w:num w:numId="80">
    <w:abstractNumId w:val="57"/>
  </w:num>
  <w:num w:numId="81">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4F2D"/>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UnresolvedMention">
    <w:name w:val="Unresolved Mention"/>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UnresolvedMention">
    <w:name w:val="Unresolved Mention"/>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p@powiatsus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odernizacja@powiatsusk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dernizacja@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23" Type="http://schemas.openxmlformats.org/officeDocument/2006/relationships/theme" Target="theme/theme1.xml"/><Relationship Id="rId10" Type="http://schemas.openxmlformats.org/officeDocument/2006/relationships/hyperlink" Target="http://www.powiatsuski.pl" TargetMode="External"/><Relationship Id="rId19" Type="http://schemas.openxmlformats.org/officeDocument/2006/relationships/hyperlink" Target="mailto:modernizacja@powiatsuski.pl" TargetMode="Externa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4254-6AB3-40C6-B129-783F22E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11263</Words>
  <Characters>73834</Characters>
  <Application>Microsoft Office Word</Application>
  <DocSecurity>0</DocSecurity>
  <Lines>615</Lines>
  <Paragraphs>169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84928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Magdalena Więcław</cp:lastModifiedBy>
  <cp:revision>4</cp:revision>
  <cp:lastPrinted>2021-08-16T07:03:00Z</cp:lastPrinted>
  <dcterms:created xsi:type="dcterms:W3CDTF">2022-06-02T10:10:00Z</dcterms:created>
  <dcterms:modified xsi:type="dcterms:W3CDTF">2022-06-02T12:33:00Z</dcterms:modified>
</cp:coreProperties>
</file>